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76408131"/>
        <w:docPartObj>
          <w:docPartGallery w:val="Cover Pages"/>
          <w:docPartUnique/>
        </w:docPartObj>
      </w:sdtPr>
      <w:sdtEndPr>
        <w:rPr>
          <w:rFonts w:ascii="Segoe UI" w:eastAsiaTheme="minorHAnsi" w:hAnsi="Segoe UI" w:cstheme="minorBidi"/>
          <w:caps w:val="0"/>
        </w:rPr>
      </w:sdtEndPr>
      <w:sdtContent>
        <w:tbl>
          <w:tblPr>
            <w:tblW w:w="5000" w:type="pct"/>
            <w:jc w:val="center"/>
            <w:tblLook w:val="04A0" w:firstRow="1" w:lastRow="0" w:firstColumn="1" w:lastColumn="0" w:noHBand="0" w:noVBand="1"/>
          </w:tblPr>
          <w:tblGrid>
            <w:gridCol w:w="9360"/>
          </w:tblGrid>
          <w:tr w:rsidR="004F59A6" w14:paraId="40BD5399" w14:textId="77777777" w:rsidTr="004844D0">
            <w:trPr>
              <w:trHeight w:val="2880"/>
              <w:jc w:val="center"/>
            </w:trPr>
            <w:sdt>
              <w:sdtPr>
                <w:rPr>
                  <w:rFonts w:asciiTheme="majorHAnsi" w:eastAsiaTheme="majorEastAsia" w:hAnsiTheme="majorHAnsi" w:cstheme="majorBidi"/>
                  <w:caps/>
                </w:rPr>
                <w:alias w:val="Company"/>
                <w:id w:val="15524243"/>
                <w:placeholder>
                  <w:docPart w:val="BA8D910A6BE84F67BF2B45493E69D58B"/>
                </w:placeholder>
                <w:dataBinding w:prefixMappings="xmlns:ns0='http://schemas.openxmlformats.org/officeDocument/2006/extended-properties'" w:xpath="/ns0:Properties[1]/ns0:Company[1]" w:storeItemID="{6668398D-A668-4E3E-A5EB-62B293D839F1}"/>
                <w:text/>
              </w:sdtPr>
              <w:sdtContent>
                <w:tc>
                  <w:tcPr>
                    <w:tcW w:w="5000" w:type="pct"/>
                  </w:tcPr>
                  <w:p w14:paraId="58DA10A4" w14:textId="6C6F711A" w:rsidR="004F59A6" w:rsidRDefault="004F59A6" w:rsidP="004844D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Construction Lenders Risk Management Roundtable</w:t>
                    </w:r>
                  </w:p>
                </w:tc>
              </w:sdtContent>
            </w:sdt>
          </w:tr>
          <w:tr w:rsidR="004F59A6" w14:paraId="4C013485" w14:textId="77777777" w:rsidTr="004844D0">
            <w:trPr>
              <w:trHeight w:val="1440"/>
              <w:jc w:val="center"/>
            </w:trPr>
            <w:sdt>
              <w:sdtPr>
                <w:rPr>
                  <w:rFonts w:asciiTheme="majorHAnsi" w:eastAsiaTheme="majorEastAsia" w:hAnsiTheme="majorHAnsi" w:cstheme="majorBidi"/>
                  <w:sz w:val="80"/>
                  <w:szCs w:val="80"/>
                </w:rPr>
                <w:alias w:val="Title"/>
                <w:id w:val="15524250"/>
                <w:placeholder>
                  <w:docPart w:val="612F95B5E48E4649ACFCAC7F65E9243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A3CDD43" w14:textId="3C7E0EDE" w:rsidR="004F59A6" w:rsidRDefault="004F59A6" w:rsidP="004844D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Construction Disbursements</w:t>
                    </w:r>
                  </w:p>
                </w:tc>
              </w:sdtContent>
            </w:sdt>
          </w:tr>
          <w:tr w:rsidR="004F59A6" w14:paraId="33628547" w14:textId="77777777" w:rsidTr="004844D0">
            <w:trPr>
              <w:trHeight w:val="720"/>
              <w:jc w:val="center"/>
            </w:trPr>
            <w:sdt>
              <w:sdtPr>
                <w:rPr>
                  <w:rFonts w:asciiTheme="majorHAnsi" w:eastAsiaTheme="majorEastAsia" w:hAnsiTheme="majorHAnsi" w:cstheme="majorBidi"/>
                  <w:sz w:val="44"/>
                  <w:szCs w:val="44"/>
                </w:rPr>
                <w:alias w:val="Subtitle"/>
                <w:id w:val="15524255"/>
                <w:placeholder>
                  <w:docPart w:val="D16AEA5AE45145448C8D506D61E271E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548C2B5" w14:textId="0F8F28A5" w:rsidR="004F59A6" w:rsidRDefault="004F59A6" w:rsidP="004844D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 White Paper</w:t>
                    </w:r>
                  </w:p>
                </w:tc>
              </w:sdtContent>
            </w:sdt>
          </w:tr>
          <w:tr w:rsidR="004F59A6" w14:paraId="3CCA256A" w14:textId="77777777" w:rsidTr="004844D0">
            <w:trPr>
              <w:trHeight w:val="360"/>
              <w:jc w:val="center"/>
            </w:trPr>
            <w:tc>
              <w:tcPr>
                <w:tcW w:w="5000" w:type="pct"/>
                <w:vAlign w:val="center"/>
              </w:tcPr>
              <w:p w14:paraId="659FC15E" w14:textId="77777777" w:rsidR="004F59A6" w:rsidRDefault="004F59A6" w:rsidP="004844D0">
                <w:pPr>
                  <w:pStyle w:val="NoSpacing"/>
                  <w:jc w:val="center"/>
                </w:pPr>
              </w:p>
            </w:tc>
          </w:tr>
          <w:tr w:rsidR="004F59A6" w14:paraId="4B7D60E0" w14:textId="77777777" w:rsidTr="004844D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20A2D6C" w14:textId="43C5F2D6" w:rsidR="004F59A6" w:rsidRDefault="004F59A6" w:rsidP="004844D0">
                    <w:pPr>
                      <w:pStyle w:val="NoSpacing"/>
                      <w:jc w:val="center"/>
                      <w:rPr>
                        <w:b/>
                        <w:bCs/>
                      </w:rPr>
                    </w:pPr>
                    <w:r>
                      <w:rPr>
                        <w:b/>
                        <w:bCs/>
                      </w:rPr>
                      <w:t>CLRM Roundtable</w:t>
                    </w:r>
                  </w:p>
                </w:tc>
              </w:sdtContent>
            </w:sdt>
          </w:tr>
          <w:tr w:rsidR="004F59A6" w14:paraId="5374F68A" w14:textId="77777777" w:rsidTr="004844D0">
            <w:trPr>
              <w:trHeight w:val="360"/>
              <w:jc w:val="center"/>
            </w:trPr>
            <w:tc>
              <w:tcPr>
                <w:tcW w:w="5000" w:type="pct"/>
                <w:vAlign w:val="center"/>
              </w:tcPr>
              <w:p w14:paraId="23FA46A5" w14:textId="1B85DF91" w:rsidR="004F59A6" w:rsidRDefault="004F59A6" w:rsidP="004844D0">
                <w:pPr>
                  <w:pStyle w:val="NoSpacing"/>
                  <w:jc w:val="center"/>
                  <w:rPr>
                    <w:b/>
                    <w:bCs/>
                  </w:rPr>
                </w:pPr>
                <w:r>
                  <w:rPr>
                    <w:b/>
                    <w:bCs/>
                  </w:rPr>
                  <w:t>October 19, 2018</w:t>
                </w:r>
              </w:p>
            </w:tc>
          </w:tr>
        </w:tbl>
        <w:p w14:paraId="4922FABA" w14:textId="77777777" w:rsidR="004F59A6" w:rsidRDefault="004F59A6" w:rsidP="004F59A6"/>
        <w:p w14:paraId="5DF98F4E" w14:textId="77777777" w:rsidR="004F59A6" w:rsidRDefault="004F59A6" w:rsidP="004F59A6"/>
        <w:tbl>
          <w:tblPr>
            <w:tblpPr w:leftFromText="187" w:rightFromText="187" w:horzAnchor="margin" w:tblpXSpec="center" w:tblpYSpec="bottom"/>
            <w:tblW w:w="5000" w:type="pct"/>
            <w:tblLook w:val="04A0" w:firstRow="1" w:lastRow="0" w:firstColumn="1" w:lastColumn="0" w:noHBand="0" w:noVBand="1"/>
          </w:tblPr>
          <w:tblGrid>
            <w:gridCol w:w="9360"/>
          </w:tblGrid>
          <w:tr w:rsidR="004F59A6" w14:paraId="515409A1" w14:textId="77777777" w:rsidTr="004844D0">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49FB8617" w14:textId="3AE5E51E" w:rsidR="004F59A6" w:rsidRDefault="004F59A6" w:rsidP="004844D0">
                    <w:pPr>
                      <w:pStyle w:val="NoSpacing"/>
                    </w:pPr>
                    <w:r>
                      <w:t xml:space="preserve">A </w:t>
                    </w:r>
                    <w:r>
                      <w:t xml:space="preserve">summary of </w:t>
                    </w:r>
                    <w:r>
                      <w:t xml:space="preserve">construction </w:t>
                    </w:r>
                    <w:r>
                      <w:t>loan disbursement practices</w:t>
                    </w:r>
                    <w:r>
                      <w:t xml:space="preserve">. It is recognized that </w:t>
                    </w:r>
                    <w:r w:rsidR="00552ADF">
                      <w:t xml:space="preserve">disbursement </w:t>
                    </w:r>
                    <w:r>
                      <w:t xml:space="preserve">requirements will vary </w:t>
                    </w:r>
                    <w:r w:rsidR="00552ADF">
                      <w:t>depending on a wide array of considerations. This document is not intended to imply requirements for any particular approach.</w:t>
                    </w:r>
                  </w:p>
                </w:tc>
              </w:sdtContent>
            </w:sdt>
          </w:tr>
        </w:tbl>
        <w:p w14:paraId="20024732" w14:textId="77777777" w:rsidR="004F59A6" w:rsidRDefault="004F59A6" w:rsidP="004F59A6"/>
        <w:p w14:paraId="12721D9D" w14:textId="62F53A51" w:rsidR="004F59A6" w:rsidRDefault="004F59A6" w:rsidP="004F59A6">
          <w:pPr>
            <w:spacing w:before="0" w:after="200"/>
            <w:jc w:val="left"/>
          </w:pPr>
          <w:r>
            <w:rPr>
              <w:noProof/>
            </w:rPr>
            <w:drawing>
              <wp:anchor distT="0" distB="0" distL="114300" distR="114300" simplePos="0" relativeHeight="251659264" behindDoc="0" locked="0" layoutInCell="1" allowOverlap="1" wp14:anchorId="3EE6B859" wp14:editId="343AFD88">
                <wp:simplePos x="0" y="0"/>
                <wp:positionH relativeFrom="page">
                  <wp:align>center</wp:align>
                </wp:positionH>
                <wp:positionV relativeFrom="paragraph">
                  <wp:posOffset>-4513580</wp:posOffset>
                </wp:positionV>
                <wp:extent cx="2846070" cy="97536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846" t="22939" r="11200" b="15412"/>
                        <a:stretch>
                          <a:fillRect/>
                        </a:stretch>
                      </pic:blipFill>
                      <pic:spPr bwMode="auto">
                        <a:xfrm>
                          <a:off x="0" y="0"/>
                          <a:ext cx="2846070" cy="975360"/>
                        </a:xfrm>
                        <a:prstGeom prst="rect">
                          <a:avLst/>
                        </a:prstGeom>
                        <a:noFill/>
                        <a:ln w="9525">
                          <a:noFill/>
                          <a:miter lim="800000"/>
                          <a:headEnd/>
                          <a:tailEnd/>
                        </a:ln>
                      </pic:spPr>
                    </pic:pic>
                  </a:graphicData>
                </a:graphic>
              </wp:anchor>
            </w:drawing>
          </w:r>
          <w:r>
            <w:br w:type="page"/>
          </w:r>
        </w:p>
      </w:sdtContent>
    </w:sdt>
    <w:sdt>
      <w:sdtPr>
        <w:rPr>
          <w:rFonts w:asciiTheme="minorHAnsi" w:eastAsiaTheme="minorHAnsi" w:hAnsiTheme="minorHAnsi" w:cstheme="minorBidi"/>
          <w:b w:val="0"/>
          <w:bCs w:val="0"/>
          <w:color w:val="auto"/>
          <w:sz w:val="22"/>
          <w:szCs w:val="22"/>
        </w:rPr>
        <w:id w:val="76408120"/>
        <w:docPartObj>
          <w:docPartGallery w:val="Table of Contents"/>
          <w:docPartUnique/>
        </w:docPartObj>
      </w:sdtPr>
      <w:sdtEndPr>
        <w:rPr>
          <w:rFonts w:ascii="Segoe UI" w:hAnsi="Segoe UI"/>
          <w:caps w:val="0"/>
          <w:sz w:val="20"/>
        </w:rPr>
      </w:sdtEndPr>
      <w:sdtContent>
        <w:p w14:paraId="3B821093" w14:textId="77777777" w:rsidR="00552ADF" w:rsidRDefault="00552ADF" w:rsidP="00552ADF">
          <w:pPr>
            <w:pStyle w:val="TOCHeading"/>
            <w:spacing w:before="0" w:line="240" w:lineRule="auto"/>
          </w:pPr>
          <w:r>
            <w:t>Table of Contents</w:t>
          </w:r>
        </w:p>
        <w:p w14:paraId="5A8723BF" w14:textId="461474AB" w:rsidR="00B45CAC" w:rsidRDefault="00552ADF">
          <w:pPr>
            <w:pStyle w:val="TOC1"/>
            <w:rPr>
              <w:rFonts w:asciiTheme="minorHAnsi" w:eastAsiaTheme="minorEastAsia" w:hAnsiTheme="minorHAnsi"/>
              <w:b w:val="0"/>
              <w:sz w:val="22"/>
            </w:rPr>
          </w:pPr>
          <w:r>
            <w:fldChar w:fldCharType="begin"/>
          </w:r>
          <w:r>
            <w:instrText xml:space="preserve"> TOC \o "1-3" \h \z \u </w:instrText>
          </w:r>
          <w:r>
            <w:fldChar w:fldCharType="separate"/>
          </w:r>
          <w:hyperlink w:anchor="_Toc527709051" w:history="1">
            <w:r w:rsidR="00B45CAC" w:rsidRPr="005666E9">
              <w:rPr>
                <w:rStyle w:val="Hyperlink"/>
                <w14:scene3d>
                  <w14:camera w14:prst="orthographicFront"/>
                  <w14:lightRig w14:rig="threePt" w14:dir="t">
                    <w14:rot w14:lat="0" w14:lon="0" w14:rev="0"/>
                  </w14:lightRig>
                </w14:scene3d>
              </w:rPr>
              <w:t>1.0</w:t>
            </w:r>
            <w:r w:rsidR="00B45CAC">
              <w:rPr>
                <w:rFonts w:asciiTheme="minorHAnsi" w:eastAsiaTheme="minorEastAsia" w:hAnsiTheme="minorHAnsi"/>
                <w:b w:val="0"/>
                <w:sz w:val="22"/>
              </w:rPr>
              <w:tab/>
            </w:r>
            <w:r w:rsidR="00B45CAC" w:rsidRPr="005666E9">
              <w:rPr>
                <w:rStyle w:val="Hyperlink"/>
              </w:rPr>
              <w:t>Stakeholders</w:t>
            </w:r>
            <w:r w:rsidR="00B45CAC">
              <w:rPr>
                <w:webHidden/>
              </w:rPr>
              <w:tab/>
            </w:r>
            <w:r w:rsidR="00B45CAC">
              <w:rPr>
                <w:webHidden/>
              </w:rPr>
              <w:fldChar w:fldCharType="begin"/>
            </w:r>
            <w:r w:rsidR="00B45CAC">
              <w:rPr>
                <w:webHidden/>
              </w:rPr>
              <w:instrText xml:space="preserve"> PAGEREF _Toc527709051 \h </w:instrText>
            </w:r>
            <w:r w:rsidR="00B45CAC">
              <w:rPr>
                <w:webHidden/>
              </w:rPr>
            </w:r>
            <w:r w:rsidR="00B45CAC">
              <w:rPr>
                <w:webHidden/>
              </w:rPr>
              <w:fldChar w:fldCharType="separate"/>
            </w:r>
            <w:r w:rsidR="00B45CAC">
              <w:rPr>
                <w:webHidden/>
              </w:rPr>
              <w:t>3</w:t>
            </w:r>
            <w:r w:rsidR="00B45CAC">
              <w:rPr>
                <w:webHidden/>
              </w:rPr>
              <w:fldChar w:fldCharType="end"/>
            </w:r>
          </w:hyperlink>
        </w:p>
        <w:p w14:paraId="0D733480" w14:textId="2287CC34" w:rsidR="00B45CAC" w:rsidRDefault="00B45CAC">
          <w:pPr>
            <w:pStyle w:val="TOC1"/>
            <w:rPr>
              <w:rFonts w:asciiTheme="minorHAnsi" w:eastAsiaTheme="minorEastAsia" w:hAnsiTheme="minorHAnsi"/>
              <w:b w:val="0"/>
              <w:sz w:val="22"/>
            </w:rPr>
          </w:pPr>
          <w:hyperlink w:anchor="_Toc527709052" w:history="1">
            <w:r w:rsidRPr="005666E9">
              <w:rPr>
                <w:rStyle w:val="Hyperlink"/>
                <w14:scene3d>
                  <w14:camera w14:prst="orthographicFront"/>
                  <w14:lightRig w14:rig="threePt" w14:dir="t">
                    <w14:rot w14:lat="0" w14:lon="0" w14:rev="0"/>
                  </w14:lightRig>
                </w14:scene3d>
              </w:rPr>
              <w:t>2.0</w:t>
            </w:r>
            <w:r>
              <w:rPr>
                <w:rFonts w:asciiTheme="minorHAnsi" w:eastAsiaTheme="minorEastAsia" w:hAnsiTheme="minorHAnsi"/>
                <w:b w:val="0"/>
                <w:sz w:val="22"/>
              </w:rPr>
              <w:tab/>
            </w:r>
            <w:r w:rsidRPr="005666E9">
              <w:rPr>
                <w:rStyle w:val="Hyperlink"/>
              </w:rPr>
              <w:t>Objectives of Construction and Disbursement Monitoring</w:t>
            </w:r>
            <w:r>
              <w:rPr>
                <w:webHidden/>
              </w:rPr>
              <w:tab/>
            </w:r>
            <w:r>
              <w:rPr>
                <w:webHidden/>
              </w:rPr>
              <w:fldChar w:fldCharType="begin"/>
            </w:r>
            <w:r>
              <w:rPr>
                <w:webHidden/>
              </w:rPr>
              <w:instrText xml:space="preserve"> PAGEREF _Toc527709052 \h </w:instrText>
            </w:r>
            <w:r>
              <w:rPr>
                <w:webHidden/>
              </w:rPr>
            </w:r>
            <w:r>
              <w:rPr>
                <w:webHidden/>
              </w:rPr>
              <w:fldChar w:fldCharType="separate"/>
            </w:r>
            <w:r>
              <w:rPr>
                <w:webHidden/>
              </w:rPr>
              <w:t>3</w:t>
            </w:r>
            <w:r>
              <w:rPr>
                <w:webHidden/>
              </w:rPr>
              <w:fldChar w:fldCharType="end"/>
            </w:r>
          </w:hyperlink>
        </w:p>
        <w:p w14:paraId="17B1CB60" w14:textId="080E3029" w:rsidR="00B45CAC" w:rsidRDefault="00B45CAC">
          <w:pPr>
            <w:pStyle w:val="TOC2"/>
            <w:rPr>
              <w:rFonts w:asciiTheme="minorHAnsi" w:eastAsiaTheme="minorEastAsia" w:hAnsiTheme="minorHAnsi"/>
              <w:noProof/>
              <w:sz w:val="22"/>
            </w:rPr>
          </w:pPr>
          <w:hyperlink w:anchor="_Toc527709053" w:history="1">
            <w:r w:rsidRPr="005666E9">
              <w:rPr>
                <w:rStyle w:val="Hyperlink"/>
                <w:noProof/>
              </w:rPr>
              <w:t>2.1</w:t>
            </w:r>
            <w:r>
              <w:rPr>
                <w:rFonts w:asciiTheme="minorHAnsi" w:eastAsiaTheme="minorEastAsia" w:hAnsiTheme="minorHAnsi"/>
                <w:noProof/>
                <w:sz w:val="22"/>
              </w:rPr>
              <w:tab/>
            </w:r>
            <w:r w:rsidRPr="005666E9">
              <w:rPr>
                <w:rStyle w:val="Hyperlink"/>
                <w:noProof/>
              </w:rPr>
              <w:t>Protect assets of the bank</w:t>
            </w:r>
            <w:r>
              <w:rPr>
                <w:noProof/>
                <w:webHidden/>
              </w:rPr>
              <w:tab/>
            </w:r>
            <w:r>
              <w:rPr>
                <w:noProof/>
                <w:webHidden/>
              </w:rPr>
              <w:fldChar w:fldCharType="begin"/>
            </w:r>
            <w:r>
              <w:rPr>
                <w:noProof/>
                <w:webHidden/>
              </w:rPr>
              <w:instrText xml:space="preserve"> PAGEREF _Toc527709053 \h </w:instrText>
            </w:r>
            <w:r>
              <w:rPr>
                <w:noProof/>
                <w:webHidden/>
              </w:rPr>
            </w:r>
            <w:r>
              <w:rPr>
                <w:noProof/>
                <w:webHidden/>
              </w:rPr>
              <w:fldChar w:fldCharType="separate"/>
            </w:r>
            <w:r>
              <w:rPr>
                <w:noProof/>
                <w:webHidden/>
              </w:rPr>
              <w:t>3</w:t>
            </w:r>
            <w:r>
              <w:rPr>
                <w:noProof/>
                <w:webHidden/>
              </w:rPr>
              <w:fldChar w:fldCharType="end"/>
            </w:r>
          </w:hyperlink>
        </w:p>
        <w:p w14:paraId="1AD3D02F" w14:textId="0BAE205D" w:rsidR="00B45CAC" w:rsidRDefault="00B45CAC">
          <w:pPr>
            <w:pStyle w:val="TOC2"/>
            <w:rPr>
              <w:rFonts w:asciiTheme="minorHAnsi" w:eastAsiaTheme="minorEastAsia" w:hAnsiTheme="minorHAnsi"/>
              <w:noProof/>
              <w:sz w:val="22"/>
            </w:rPr>
          </w:pPr>
          <w:hyperlink w:anchor="_Toc527709054" w:history="1">
            <w:r w:rsidRPr="005666E9">
              <w:rPr>
                <w:rStyle w:val="Hyperlink"/>
                <w:noProof/>
              </w:rPr>
              <w:t>2.2</w:t>
            </w:r>
            <w:r>
              <w:rPr>
                <w:rFonts w:asciiTheme="minorHAnsi" w:eastAsiaTheme="minorEastAsia" w:hAnsiTheme="minorHAnsi"/>
                <w:noProof/>
                <w:sz w:val="22"/>
              </w:rPr>
              <w:tab/>
            </w:r>
            <w:r w:rsidRPr="005666E9">
              <w:rPr>
                <w:rStyle w:val="Hyperlink"/>
                <w:noProof/>
              </w:rPr>
              <w:t>Assure conformance with</w:t>
            </w:r>
            <w:r>
              <w:rPr>
                <w:noProof/>
                <w:webHidden/>
              </w:rPr>
              <w:tab/>
            </w:r>
            <w:r>
              <w:rPr>
                <w:noProof/>
                <w:webHidden/>
              </w:rPr>
              <w:fldChar w:fldCharType="begin"/>
            </w:r>
            <w:r>
              <w:rPr>
                <w:noProof/>
                <w:webHidden/>
              </w:rPr>
              <w:instrText xml:space="preserve"> PAGEREF _Toc527709054 \h </w:instrText>
            </w:r>
            <w:r>
              <w:rPr>
                <w:noProof/>
                <w:webHidden/>
              </w:rPr>
            </w:r>
            <w:r>
              <w:rPr>
                <w:noProof/>
                <w:webHidden/>
              </w:rPr>
              <w:fldChar w:fldCharType="separate"/>
            </w:r>
            <w:r>
              <w:rPr>
                <w:noProof/>
                <w:webHidden/>
              </w:rPr>
              <w:t>3</w:t>
            </w:r>
            <w:r>
              <w:rPr>
                <w:noProof/>
                <w:webHidden/>
              </w:rPr>
              <w:fldChar w:fldCharType="end"/>
            </w:r>
          </w:hyperlink>
        </w:p>
        <w:p w14:paraId="4AE6584A" w14:textId="77C1ED52" w:rsidR="00B45CAC" w:rsidRDefault="00B45CAC">
          <w:pPr>
            <w:pStyle w:val="TOC1"/>
            <w:rPr>
              <w:rFonts w:asciiTheme="minorHAnsi" w:eastAsiaTheme="minorEastAsia" w:hAnsiTheme="minorHAnsi"/>
              <w:b w:val="0"/>
              <w:sz w:val="22"/>
            </w:rPr>
          </w:pPr>
          <w:hyperlink w:anchor="_Toc527709055" w:history="1">
            <w:r w:rsidRPr="005666E9">
              <w:rPr>
                <w:rStyle w:val="Hyperlink"/>
                <w14:scene3d>
                  <w14:camera w14:prst="orthographicFront"/>
                  <w14:lightRig w14:rig="threePt" w14:dir="t">
                    <w14:rot w14:lat="0" w14:lon="0" w14:rev="0"/>
                  </w14:lightRig>
                </w14:scene3d>
              </w:rPr>
              <w:t>3.0</w:t>
            </w:r>
            <w:r>
              <w:rPr>
                <w:rFonts w:asciiTheme="minorHAnsi" w:eastAsiaTheme="minorEastAsia" w:hAnsiTheme="minorHAnsi"/>
                <w:b w:val="0"/>
                <w:sz w:val="22"/>
              </w:rPr>
              <w:tab/>
            </w:r>
            <w:r w:rsidRPr="005666E9">
              <w:rPr>
                <w:rStyle w:val="Hyperlink"/>
              </w:rPr>
              <w:t>Disbursements</w:t>
            </w:r>
            <w:r>
              <w:rPr>
                <w:webHidden/>
              </w:rPr>
              <w:tab/>
            </w:r>
            <w:r>
              <w:rPr>
                <w:webHidden/>
              </w:rPr>
              <w:fldChar w:fldCharType="begin"/>
            </w:r>
            <w:r>
              <w:rPr>
                <w:webHidden/>
              </w:rPr>
              <w:instrText xml:space="preserve"> PAGEREF _Toc527709055 \h </w:instrText>
            </w:r>
            <w:r>
              <w:rPr>
                <w:webHidden/>
              </w:rPr>
            </w:r>
            <w:r>
              <w:rPr>
                <w:webHidden/>
              </w:rPr>
              <w:fldChar w:fldCharType="separate"/>
            </w:r>
            <w:r>
              <w:rPr>
                <w:webHidden/>
              </w:rPr>
              <w:t>4</w:t>
            </w:r>
            <w:r>
              <w:rPr>
                <w:webHidden/>
              </w:rPr>
              <w:fldChar w:fldCharType="end"/>
            </w:r>
          </w:hyperlink>
        </w:p>
        <w:p w14:paraId="01D5F816" w14:textId="7433C32A" w:rsidR="00B45CAC" w:rsidRDefault="00B45CAC">
          <w:pPr>
            <w:pStyle w:val="TOC2"/>
            <w:rPr>
              <w:rFonts w:asciiTheme="minorHAnsi" w:eastAsiaTheme="minorEastAsia" w:hAnsiTheme="minorHAnsi"/>
              <w:noProof/>
              <w:sz w:val="22"/>
            </w:rPr>
          </w:pPr>
          <w:hyperlink w:anchor="_Toc527709056" w:history="1">
            <w:r w:rsidRPr="005666E9">
              <w:rPr>
                <w:rStyle w:val="Hyperlink"/>
                <w:noProof/>
              </w:rPr>
              <w:t>3.1</w:t>
            </w:r>
            <w:r>
              <w:rPr>
                <w:rFonts w:asciiTheme="minorHAnsi" w:eastAsiaTheme="minorEastAsia" w:hAnsiTheme="minorHAnsi"/>
                <w:noProof/>
                <w:sz w:val="22"/>
              </w:rPr>
              <w:tab/>
            </w:r>
            <w:r w:rsidRPr="005666E9">
              <w:rPr>
                <w:rStyle w:val="Hyperlink"/>
                <w:noProof/>
              </w:rPr>
              <w:t>Borrower Responsibilities</w:t>
            </w:r>
            <w:r>
              <w:rPr>
                <w:noProof/>
                <w:webHidden/>
              </w:rPr>
              <w:tab/>
            </w:r>
            <w:r>
              <w:rPr>
                <w:noProof/>
                <w:webHidden/>
              </w:rPr>
              <w:fldChar w:fldCharType="begin"/>
            </w:r>
            <w:r>
              <w:rPr>
                <w:noProof/>
                <w:webHidden/>
              </w:rPr>
              <w:instrText xml:space="preserve"> PAGEREF _Toc527709056 \h </w:instrText>
            </w:r>
            <w:r>
              <w:rPr>
                <w:noProof/>
                <w:webHidden/>
              </w:rPr>
            </w:r>
            <w:r>
              <w:rPr>
                <w:noProof/>
                <w:webHidden/>
              </w:rPr>
              <w:fldChar w:fldCharType="separate"/>
            </w:r>
            <w:r>
              <w:rPr>
                <w:noProof/>
                <w:webHidden/>
              </w:rPr>
              <w:t>4</w:t>
            </w:r>
            <w:r>
              <w:rPr>
                <w:noProof/>
                <w:webHidden/>
              </w:rPr>
              <w:fldChar w:fldCharType="end"/>
            </w:r>
          </w:hyperlink>
        </w:p>
        <w:p w14:paraId="089B185F" w14:textId="318E5C75" w:rsidR="00B45CAC" w:rsidRDefault="00B45CAC">
          <w:pPr>
            <w:pStyle w:val="TOC2"/>
            <w:rPr>
              <w:rFonts w:asciiTheme="minorHAnsi" w:eastAsiaTheme="minorEastAsia" w:hAnsiTheme="minorHAnsi"/>
              <w:noProof/>
              <w:sz w:val="22"/>
            </w:rPr>
          </w:pPr>
          <w:hyperlink w:anchor="_Toc527709057" w:history="1">
            <w:r w:rsidRPr="005666E9">
              <w:rPr>
                <w:rStyle w:val="Hyperlink"/>
                <w:noProof/>
              </w:rPr>
              <w:t>3.2</w:t>
            </w:r>
            <w:r>
              <w:rPr>
                <w:rFonts w:asciiTheme="minorHAnsi" w:eastAsiaTheme="minorEastAsia" w:hAnsiTheme="minorHAnsi"/>
                <w:noProof/>
                <w:sz w:val="22"/>
              </w:rPr>
              <w:tab/>
            </w:r>
            <w:r w:rsidRPr="005666E9">
              <w:rPr>
                <w:rStyle w:val="Hyperlink"/>
                <w:noProof/>
              </w:rPr>
              <w:t>Disbursement Requests</w:t>
            </w:r>
            <w:r>
              <w:rPr>
                <w:noProof/>
                <w:webHidden/>
              </w:rPr>
              <w:tab/>
            </w:r>
            <w:r>
              <w:rPr>
                <w:noProof/>
                <w:webHidden/>
              </w:rPr>
              <w:fldChar w:fldCharType="begin"/>
            </w:r>
            <w:r>
              <w:rPr>
                <w:noProof/>
                <w:webHidden/>
              </w:rPr>
              <w:instrText xml:space="preserve"> PAGEREF _Toc527709057 \h </w:instrText>
            </w:r>
            <w:r>
              <w:rPr>
                <w:noProof/>
                <w:webHidden/>
              </w:rPr>
            </w:r>
            <w:r>
              <w:rPr>
                <w:noProof/>
                <w:webHidden/>
              </w:rPr>
              <w:fldChar w:fldCharType="separate"/>
            </w:r>
            <w:r>
              <w:rPr>
                <w:noProof/>
                <w:webHidden/>
              </w:rPr>
              <w:t>4</w:t>
            </w:r>
            <w:r>
              <w:rPr>
                <w:noProof/>
                <w:webHidden/>
              </w:rPr>
              <w:fldChar w:fldCharType="end"/>
            </w:r>
          </w:hyperlink>
        </w:p>
        <w:p w14:paraId="4102A6B7" w14:textId="6EE2DDC9" w:rsidR="00B45CAC" w:rsidRDefault="00B45CAC">
          <w:pPr>
            <w:pStyle w:val="TOC3"/>
            <w:rPr>
              <w:rFonts w:asciiTheme="minorHAnsi" w:eastAsiaTheme="minorEastAsia" w:hAnsiTheme="minorHAnsi"/>
              <w:noProof/>
              <w:sz w:val="22"/>
            </w:rPr>
          </w:pPr>
          <w:hyperlink w:anchor="_Toc527709058" w:history="1">
            <w:r w:rsidRPr="005666E9">
              <w:rPr>
                <w:rStyle w:val="Hyperlink"/>
                <w:noProof/>
              </w:rPr>
              <w:t>3.2.1</w:t>
            </w:r>
            <w:r>
              <w:rPr>
                <w:rFonts w:asciiTheme="minorHAnsi" w:eastAsiaTheme="minorEastAsia" w:hAnsiTheme="minorHAnsi"/>
                <w:noProof/>
                <w:sz w:val="22"/>
              </w:rPr>
              <w:tab/>
            </w:r>
            <w:r w:rsidRPr="005666E9">
              <w:rPr>
                <w:rStyle w:val="Hyperlink"/>
                <w:noProof/>
              </w:rPr>
              <w:t>Typical Disbursement Processes</w:t>
            </w:r>
            <w:r>
              <w:rPr>
                <w:noProof/>
                <w:webHidden/>
              </w:rPr>
              <w:tab/>
            </w:r>
            <w:r>
              <w:rPr>
                <w:noProof/>
                <w:webHidden/>
              </w:rPr>
              <w:fldChar w:fldCharType="begin"/>
            </w:r>
            <w:r>
              <w:rPr>
                <w:noProof/>
                <w:webHidden/>
              </w:rPr>
              <w:instrText xml:space="preserve"> PAGEREF _Toc527709058 \h </w:instrText>
            </w:r>
            <w:r>
              <w:rPr>
                <w:noProof/>
                <w:webHidden/>
              </w:rPr>
            </w:r>
            <w:r>
              <w:rPr>
                <w:noProof/>
                <w:webHidden/>
              </w:rPr>
              <w:fldChar w:fldCharType="separate"/>
            </w:r>
            <w:r>
              <w:rPr>
                <w:noProof/>
                <w:webHidden/>
              </w:rPr>
              <w:t>4</w:t>
            </w:r>
            <w:r>
              <w:rPr>
                <w:noProof/>
                <w:webHidden/>
              </w:rPr>
              <w:fldChar w:fldCharType="end"/>
            </w:r>
          </w:hyperlink>
        </w:p>
        <w:p w14:paraId="1DC29FC7" w14:textId="4E00260F" w:rsidR="00B45CAC" w:rsidRDefault="00B45CAC">
          <w:pPr>
            <w:pStyle w:val="TOC3"/>
            <w:rPr>
              <w:rFonts w:asciiTheme="minorHAnsi" w:eastAsiaTheme="minorEastAsia" w:hAnsiTheme="minorHAnsi"/>
              <w:noProof/>
              <w:sz w:val="22"/>
            </w:rPr>
          </w:pPr>
          <w:hyperlink w:anchor="_Toc527709059" w:history="1">
            <w:r w:rsidRPr="005666E9">
              <w:rPr>
                <w:rStyle w:val="Hyperlink"/>
                <w:noProof/>
              </w:rPr>
              <w:t>3.2.2</w:t>
            </w:r>
            <w:r>
              <w:rPr>
                <w:rFonts w:asciiTheme="minorHAnsi" w:eastAsiaTheme="minorEastAsia" w:hAnsiTheme="minorHAnsi"/>
                <w:noProof/>
                <w:sz w:val="22"/>
              </w:rPr>
              <w:tab/>
            </w:r>
            <w:r w:rsidRPr="005666E9">
              <w:rPr>
                <w:rStyle w:val="Hyperlink"/>
                <w:noProof/>
              </w:rPr>
              <w:t>Supporting Docume</w:t>
            </w:r>
            <w:r w:rsidRPr="005666E9">
              <w:rPr>
                <w:rStyle w:val="Hyperlink"/>
                <w:noProof/>
              </w:rPr>
              <w:t>n</w:t>
            </w:r>
            <w:r w:rsidRPr="005666E9">
              <w:rPr>
                <w:rStyle w:val="Hyperlink"/>
                <w:noProof/>
              </w:rPr>
              <w:t>tation</w:t>
            </w:r>
            <w:r>
              <w:rPr>
                <w:noProof/>
                <w:webHidden/>
              </w:rPr>
              <w:tab/>
            </w:r>
            <w:r>
              <w:rPr>
                <w:noProof/>
                <w:webHidden/>
              </w:rPr>
              <w:fldChar w:fldCharType="begin"/>
            </w:r>
            <w:r>
              <w:rPr>
                <w:noProof/>
                <w:webHidden/>
              </w:rPr>
              <w:instrText xml:space="preserve"> PAGEREF _Toc527709059 \h </w:instrText>
            </w:r>
            <w:r>
              <w:rPr>
                <w:noProof/>
                <w:webHidden/>
              </w:rPr>
            </w:r>
            <w:r>
              <w:rPr>
                <w:noProof/>
                <w:webHidden/>
              </w:rPr>
              <w:fldChar w:fldCharType="separate"/>
            </w:r>
            <w:r>
              <w:rPr>
                <w:noProof/>
                <w:webHidden/>
              </w:rPr>
              <w:t>5</w:t>
            </w:r>
            <w:r>
              <w:rPr>
                <w:noProof/>
                <w:webHidden/>
              </w:rPr>
              <w:fldChar w:fldCharType="end"/>
            </w:r>
          </w:hyperlink>
        </w:p>
        <w:p w14:paraId="4E784FA9" w14:textId="6E5BB8A4" w:rsidR="00B45CAC" w:rsidRDefault="00B45CAC">
          <w:pPr>
            <w:pStyle w:val="TOC3"/>
            <w:rPr>
              <w:rFonts w:asciiTheme="minorHAnsi" w:eastAsiaTheme="minorEastAsia" w:hAnsiTheme="minorHAnsi"/>
              <w:noProof/>
              <w:sz w:val="22"/>
            </w:rPr>
          </w:pPr>
          <w:hyperlink w:anchor="_Toc527709060" w:history="1">
            <w:r w:rsidRPr="005666E9">
              <w:rPr>
                <w:rStyle w:val="Hyperlink"/>
                <w:noProof/>
              </w:rPr>
              <w:t>3.2.3</w:t>
            </w:r>
            <w:r>
              <w:rPr>
                <w:rFonts w:asciiTheme="minorHAnsi" w:eastAsiaTheme="minorEastAsia" w:hAnsiTheme="minorHAnsi"/>
                <w:noProof/>
                <w:sz w:val="22"/>
              </w:rPr>
              <w:tab/>
            </w:r>
            <w:r w:rsidRPr="005666E9">
              <w:rPr>
                <w:rStyle w:val="Hyperlink"/>
                <w:noProof/>
              </w:rPr>
              <w:t>Construction Hard Costs</w:t>
            </w:r>
            <w:r>
              <w:rPr>
                <w:noProof/>
                <w:webHidden/>
              </w:rPr>
              <w:tab/>
            </w:r>
            <w:r>
              <w:rPr>
                <w:noProof/>
                <w:webHidden/>
              </w:rPr>
              <w:fldChar w:fldCharType="begin"/>
            </w:r>
            <w:r>
              <w:rPr>
                <w:noProof/>
                <w:webHidden/>
              </w:rPr>
              <w:instrText xml:space="preserve"> PAGEREF _Toc527709060 \h </w:instrText>
            </w:r>
            <w:r>
              <w:rPr>
                <w:noProof/>
                <w:webHidden/>
              </w:rPr>
            </w:r>
            <w:r>
              <w:rPr>
                <w:noProof/>
                <w:webHidden/>
              </w:rPr>
              <w:fldChar w:fldCharType="separate"/>
            </w:r>
            <w:r>
              <w:rPr>
                <w:noProof/>
                <w:webHidden/>
              </w:rPr>
              <w:t>5</w:t>
            </w:r>
            <w:r>
              <w:rPr>
                <w:noProof/>
                <w:webHidden/>
              </w:rPr>
              <w:fldChar w:fldCharType="end"/>
            </w:r>
          </w:hyperlink>
        </w:p>
        <w:p w14:paraId="3779D3DF" w14:textId="4BF03DFE" w:rsidR="00552ADF" w:rsidRDefault="00552ADF" w:rsidP="00552ADF">
          <w:pPr>
            <w:spacing w:after="0" w:line="240" w:lineRule="auto"/>
          </w:pPr>
          <w:r>
            <w:fldChar w:fldCharType="end"/>
          </w:r>
        </w:p>
      </w:sdtContent>
    </w:sdt>
    <w:p w14:paraId="48C2A454" w14:textId="57C1D5E5" w:rsidR="00552ADF" w:rsidRDefault="00552ADF" w:rsidP="00552ADF">
      <w:pPr>
        <w:spacing w:before="0" w:after="200"/>
        <w:jc w:val="left"/>
        <w:rPr>
          <w:rFonts w:eastAsiaTheme="majorEastAsia" w:cs="Segoe UI"/>
          <w:b/>
          <w:bCs/>
          <w:sz w:val="28"/>
          <w:szCs w:val="28"/>
        </w:rPr>
      </w:pPr>
      <w:r>
        <w:t xml:space="preserve"> </w:t>
      </w:r>
      <w:r>
        <w:br w:type="page"/>
      </w:r>
    </w:p>
    <w:p w14:paraId="245B31D7" w14:textId="2AA9A243" w:rsidR="0055349A" w:rsidRDefault="0055349A" w:rsidP="0055349A">
      <w:pPr>
        <w:pStyle w:val="Heading1"/>
      </w:pPr>
      <w:bookmarkStart w:id="0" w:name="_Toc527709051"/>
      <w:r w:rsidRPr="0055349A">
        <w:lastRenderedPageBreak/>
        <w:t>Stakeholders</w:t>
      </w:r>
      <w:bookmarkEnd w:id="0"/>
    </w:p>
    <w:p w14:paraId="2A3CB266" w14:textId="77786B46" w:rsidR="0055349A" w:rsidRDefault="0055349A" w:rsidP="0055349A">
      <w:r>
        <w:t>Disbursement monitoring and controls can provide significant value to</w:t>
      </w:r>
      <w:r w:rsidR="000553AA">
        <w:t xml:space="preserve"> all </w:t>
      </w:r>
      <w:r>
        <w:t xml:space="preserve">stakeholders, but are conducted by the lender for their sole </w:t>
      </w:r>
      <w:r w:rsidR="000553AA">
        <w:t xml:space="preserve">use and </w:t>
      </w:r>
      <w:r>
        <w:t xml:space="preserve">benefit. Loan </w:t>
      </w:r>
      <w:r w:rsidR="000553AA">
        <w:t xml:space="preserve">agreements </w:t>
      </w:r>
      <w:r>
        <w:t xml:space="preserve">should clearly prohibit third-party reliance on monitoring and controls conducted by the lender.  </w:t>
      </w:r>
    </w:p>
    <w:p w14:paraId="5186F817" w14:textId="77777777" w:rsidR="000553AA" w:rsidRDefault="00476178" w:rsidP="00FC096D">
      <w:r>
        <w:t xml:space="preserve">Stakeholders </w:t>
      </w:r>
      <w:r w:rsidR="000553AA">
        <w:t>within the lending organization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3AA" w14:paraId="29865123" w14:textId="77777777" w:rsidTr="00D32802">
        <w:tc>
          <w:tcPr>
            <w:tcW w:w="4675" w:type="dxa"/>
          </w:tcPr>
          <w:p w14:paraId="49F488C0" w14:textId="77777777" w:rsidR="000553AA" w:rsidRPr="00476178" w:rsidRDefault="000553AA" w:rsidP="00E330D3">
            <w:pPr>
              <w:numPr>
                <w:ilvl w:val="0"/>
                <w:numId w:val="5"/>
              </w:numPr>
              <w:spacing w:before="0" w:after="160" w:line="259" w:lineRule="auto"/>
              <w:contextualSpacing/>
            </w:pPr>
            <w:r>
              <w:t>Stockholders and Investors</w:t>
            </w:r>
          </w:p>
          <w:p w14:paraId="3FAE972C" w14:textId="77777777" w:rsidR="000553AA" w:rsidRDefault="000553AA" w:rsidP="00E330D3">
            <w:pPr>
              <w:numPr>
                <w:ilvl w:val="0"/>
                <w:numId w:val="5"/>
              </w:numPr>
              <w:spacing w:before="0" w:after="160" w:line="259" w:lineRule="auto"/>
              <w:contextualSpacing/>
            </w:pPr>
            <w:r>
              <w:t>Senior management</w:t>
            </w:r>
          </w:p>
          <w:p w14:paraId="2070306A" w14:textId="5B01AA37" w:rsidR="000553AA" w:rsidRDefault="000553AA" w:rsidP="00E330D3">
            <w:pPr>
              <w:numPr>
                <w:ilvl w:val="0"/>
                <w:numId w:val="5"/>
              </w:numPr>
              <w:spacing w:before="0" w:after="160" w:line="259" w:lineRule="auto"/>
              <w:contextualSpacing/>
            </w:pPr>
            <w:r w:rsidRPr="00476178">
              <w:t>Credit Admin</w:t>
            </w:r>
          </w:p>
        </w:tc>
        <w:tc>
          <w:tcPr>
            <w:tcW w:w="4675" w:type="dxa"/>
          </w:tcPr>
          <w:p w14:paraId="6D0B0D31" w14:textId="77777777" w:rsidR="000553AA" w:rsidRPr="00476178" w:rsidRDefault="000553AA" w:rsidP="00E330D3">
            <w:pPr>
              <w:numPr>
                <w:ilvl w:val="0"/>
                <w:numId w:val="5"/>
              </w:numPr>
              <w:spacing w:before="0" w:after="160" w:line="259" w:lineRule="auto"/>
              <w:contextualSpacing/>
            </w:pPr>
            <w:r w:rsidRPr="00476178">
              <w:t>Business Line</w:t>
            </w:r>
          </w:p>
          <w:p w14:paraId="5C0613D9" w14:textId="77777777" w:rsidR="000553AA" w:rsidRPr="00476178" w:rsidRDefault="000553AA" w:rsidP="00E330D3">
            <w:pPr>
              <w:numPr>
                <w:ilvl w:val="0"/>
                <w:numId w:val="5"/>
              </w:numPr>
              <w:spacing w:before="0" w:after="160" w:line="259" w:lineRule="auto"/>
              <w:contextualSpacing/>
            </w:pPr>
            <w:r w:rsidRPr="00476178">
              <w:t>Originator</w:t>
            </w:r>
          </w:p>
          <w:p w14:paraId="42509C3B" w14:textId="245B3B60" w:rsidR="000553AA" w:rsidRDefault="000553AA" w:rsidP="00E330D3">
            <w:pPr>
              <w:numPr>
                <w:ilvl w:val="0"/>
                <w:numId w:val="5"/>
              </w:numPr>
              <w:spacing w:before="0" w:after="160" w:line="259" w:lineRule="auto"/>
              <w:contextualSpacing/>
            </w:pPr>
            <w:r w:rsidRPr="00476178">
              <w:t xml:space="preserve">Loan </w:t>
            </w:r>
            <w:r>
              <w:t xml:space="preserve">Servicing </w:t>
            </w:r>
          </w:p>
        </w:tc>
      </w:tr>
    </w:tbl>
    <w:p w14:paraId="407A2DD2" w14:textId="64EFDF35" w:rsidR="0055349A" w:rsidRDefault="00F30416" w:rsidP="00FC096D">
      <w:r>
        <w:t>T</w:t>
      </w:r>
      <w:r w:rsidR="000553AA">
        <w:t xml:space="preserve">hird-parties may wish to undertake independent monitoring and control in order to protect their interests. A partial list </w:t>
      </w:r>
      <w:r>
        <w:t xml:space="preserve">of third-parties </w:t>
      </w:r>
      <w:bookmarkStart w:id="1" w:name="_GoBack"/>
      <w:bookmarkEnd w:id="1"/>
      <w:r w:rsidR="000553AA">
        <w:t>is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6178" w14:paraId="15E9137C" w14:textId="77777777" w:rsidTr="000553AA">
        <w:tc>
          <w:tcPr>
            <w:tcW w:w="4675" w:type="dxa"/>
          </w:tcPr>
          <w:p w14:paraId="05C10C29" w14:textId="77777777" w:rsidR="00FA2B29" w:rsidRDefault="00FA2B29" w:rsidP="00E330D3">
            <w:pPr>
              <w:numPr>
                <w:ilvl w:val="0"/>
                <w:numId w:val="5"/>
              </w:numPr>
              <w:spacing w:before="0" w:after="160" w:line="259" w:lineRule="auto"/>
              <w:contextualSpacing/>
            </w:pPr>
            <w:r>
              <w:t>Owners and Developers</w:t>
            </w:r>
          </w:p>
          <w:p w14:paraId="75726E58" w14:textId="77777777" w:rsidR="00FA2B29" w:rsidRDefault="00FA2B29" w:rsidP="00E330D3">
            <w:pPr>
              <w:numPr>
                <w:ilvl w:val="0"/>
                <w:numId w:val="5"/>
              </w:numPr>
              <w:spacing w:before="0" w:after="160" w:line="259" w:lineRule="auto"/>
              <w:contextualSpacing/>
            </w:pPr>
            <w:r>
              <w:t>Investors</w:t>
            </w:r>
          </w:p>
          <w:p w14:paraId="6D4F5D92" w14:textId="420010D1" w:rsidR="00476178" w:rsidRDefault="00476178" w:rsidP="00E330D3">
            <w:pPr>
              <w:numPr>
                <w:ilvl w:val="0"/>
                <w:numId w:val="5"/>
              </w:numPr>
              <w:spacing w:before="0" w:after="160" w:line="259" w:lineRule="auto"/>
              <w:contextualSpacing/>
            </w:pPr>
            <w:r w:rsidRPr="00476178">
              <w:t>Participating lenders</w:t>
            </w:r>
          </w:p>
          <w:p w14:paraId="1791FCAB" w14:textId="2C671234" w:rsidR="00FA2B29" w:rsidRPr="00476178" w:rsidRDefault="00FA2B29" w:rsidP="00E330D3">
            <w:pPr>
              <w:numPr>
                <w:ilvl w:val="0"/>
                <w:numId w:val="5"/>
              </w:numPr>
              <w:spacing w:before="0" w:after="160" w:line="259" w:lineRule="auto"/>
              <w:contextualSpacing/>
            </w:pPr>
            <w:r>
              <w:t>Other lenders</w:t>
            </w:r>
          </w:p>
          <w:p w14:paraId="18C58F32" w14:textId="77777777" w:rsidR="00476178" w:rsidRPr="00476178" w:rsidRDefault="00476178" w:rsidP="00E330D3">
            <w:pPr>
              <w:numPr>
                <w:ilvl w:val="0"/>
                <w:numId w:val="5"/>
              </w:numPr>
              <w:spacing w:before="0" w:after="160" w:line="259" w:lineRule="auto"/>
              <w:contextualSpacing/>
            </w:pPr>
            <w:r w:rsidRPr="00476178">
              <w:t>Agencies</w:t>
            </w:r>
          </w:p>
          <w:p w14:paraId="6E132D07" w14:textId="77777777" w:rsidR="00476178" w:rsidRDefault="00476178" w:rsidP="00E330D3">
            <w:pPr>
              <w:numPr>
                <w:ilvl w:val="0"/>
                <w:numId w:val="5"/>
              </w:numPr>
              <w:spacing w:before="0" w:after="160" w:line="259" w:lineRule="auto"/>
              <w:contextualSpacing/>
            </w:pPr>
            <w:r w:rsidRPr="00476178">
              <w:t>Housing authority</w:t>
            </w:r>
          </w:p>
          <w:p w14:paraId="70B36AC3" w14:textId="77777777" w:rsidR="00476178" w:rsidRPr="00476178" w:rsidRDefault="00476178" w:rsidP="00E330D3">
            <w:pPr>
              <w:numPr>
                <w:ilvl w:val="0"/>
                <w:numId w:val="5"/>
              </w:numPr>
              <w:spacing w:before="0" w:after="160" w:line="259" w:lineRule="auto"/>
              <w:contextualSpacing/>
            </w:pPr>
            <w:r w:rsidRPr="00476178">
              <w:t>Bridge and take-out lenders</w:t>
            </w:r>
          </w:p>
          <w:p w14:paraId="2E13B98C" w14:textId="77777777" w:rsidR="00476178" w:rsidRPr="00476178" w:rsidRDefault="00476178" w:rsidP="00E330D3">
            <w:pPr>
              <w:numPr>
                <w:ilvl w:val="0"/>
                <w:numId w:val="5"/>
              </w:numPr>
              <w:spacing w:before="0" w:after="160" w:line="259" w:lineRule="auto"/>
              <w:contextualSpacing/>
            </w:pPr>
            <w:r w:rsidRPr="00476178">
              <w:t>Borrower</w:t>
            </w:r>
            <w:r>
              <w:t>s</w:t>
            </w:r>
            <w:r w:rsidRPr="00476178">
              <w:t xml:space="preserve"> and their investors</w:t>
            </w:r>
          </w:p>
          <w:p w14:paraId="45C1E954" w14:textId="77777777" w:rsidR="00476178" w:rsidRPr="00476178" w:rsidRDefault="00476178" w:rsidP="00E330D3">
            <w:pPr>
              <w:numPr>
                <w:ilvl w:val="0"/>
                <w:numId w:val="5"/>
              </w:numPr>
              <w:spacing w:before="0" w:after="160" w:line="259" w:lineRule="auto"/>
              <w:contextualSpacing/>
            </w:pPr>
            <w:r w:rsidRPr="00476178">
              <w:t>Seller</w:t>
            </w:r>
            <w:r>
              <w:t>s</w:t>
            </w:r>
            <w:r w:rsidRPr="00476178">
              <w:t xml:space="preserve"> </w:t>
            </w:r>
          </w:p>
          <w:p w14:paraId="3B212192" w14:textId="77777777" w:rsidR="00476178" w:rsidRPr="00476178" w:rsidRDefault="00476178" w:rsidP="00E330D3">
            <w:pPr>
              <w:numPr>
                <w:ilvl w:val="0"/>
                <w:numId w:val="5"/>
              </w:numPr>
              <w:spacing w:before="0" w:after="160" w:line="259" w:lineRule="auto"/>
              <w:contextualSpacing/>
            </w:pPr>
            <w:r w:rsidRPr="00476178">
              <w:t>Contractor</w:t>
            </w:r>
            <w:r>
              <w:t>s</w:t>
            </w:r>
          </w:p>
          <w:p w14:paraId="0111A0A8" w14:textId="77777777" w:rsidR="00476178" w:rsidRPr="00476178" w:rsidRDefault="00476178" w:rsidP="00E330D3">
            <w:pPr>
              <w:numPr>
                <w:ilvl w:val="0"/>
                <w:numId w:val="5"/>
              </w:numPr>
              <w:spacing w:before="0" w:after="160" w:line="259" w:lineRule="auto"/>
              <w:contextualSpacing/>
            </w:pPr>
            <w:r w:rsidRPr="00476178">
              <w:t>Subs and suppliers</w:t>
            </w:r>
          </w:p>
          <w:p w14:paraId="6640CAF1" w14:textId="6E00B8F7" w:rsidR="00476178" w:rsidRDefault="00476178" w:rsidP="00E330D3">
            <w:pPr>
              <w:numPr>
                <w:ilvl w:val="0"/>
                <w:numId w:val="5"/>
              </w:numPr>
              <w:spacing w:before="0" w:after="160" w:line="259" w:lineRule="auto"/>
              <w:contextualSpacing/>
            </w:pPr>
            <w:r w:rsidRPr="00476178">
              <w:t>Project architect/designers</w:t>
            </w:r>
          </w:p>
        </w:tc>
        <w:tc>
          <w:tcPr>
            <w:tcW w:w="4675" w:type="dxa"/>
          </w:tcPr>
          <w:p w14:paraId="03D62110" w14:textId="77777777" w:rsidR="00476178" w:rsidRPr="00476178" w:rsidRDefault="00476178" w:rsidP="00E330D3">
            <w:pPr>
              <w:numPr>
                <w:ilvl w:val="0"/>
                <w:numId w:val="5"/>
              </w:numPr>
              <w:spacing w:before="0" w:after="160" w:line="259" w:lineRule="auto"/>
              <w:contextualSpacing/>
            </w:pPr>
            <w:r w:rsidRPr="00476178">
              <w:t>Buyers</w:t>
            </w:r>
          </w:p>
          <w:p w14:paraId="48BF1F5B" w14:textId="77777777" w:rsidR="00476178" w:rsidRDefault="00476178" w:rsidP="00E330D3">
            <w:pPr>
              <w:numPr>
                <w:ilvl w:val="0"/>
                <w:numId w:val="5"/>
              </w:numPr>
              <w:spacing w:before="0" w:after="160" w:line="259" w:lineRule="auto"/>
              <w:contextualSpacing/>
            </w:pPr>
            <w:r w:rsidRPr="00476178">
              <w:t>Tenants</w:t>
            </w:r>
          </w:p>
          <w:p w14:paraId="6722B6E7" w14:textId="77777777" w:rsidR="00476178" w:rsidRDefault="00476178" w:rsidP="00E330D3">
            <w:pPr>
              <w:numPr>
                <w:ilvl w:val="0"/>
                <w:numId w:val="5"/>
              </w:numPr>
              <w:spacing w:before="0" w:after="160" w:line="259" w:lineRule="auto"/>
              <w:contextualSpacing/>
            </w:pPr>
            <w:r>
              <w:t>Regulators (</w:t>
            </w:r>
            <w:r w:rsidRPr="00476178">
              <w:t>OCC, FDIC, FED</w:t>
            </w:r>
            <w:r>
              <w:t>...)</w:t>
            </w:r>
          </w:p>
          <w:p w14:paraId="39CFBBBF" w14:textId="77777777" w:rsidR="00476178" w:rsidRDefault="00476178" w:rsidP="00E330D3">
            <w:pPr>
              <w:numPr>
                <w:ilvl w:val="0"/>
                <w:numId w:val="5"/>
              </w:numPr>
              <w:spacing w:before="0" w:after="160" w:line="259" w:lineRule="auto"/>
              <w:contextualSpacing/>
            </w:pPr>
            <w:r>
              <w:t>Municipalities and Communities</w:t>
            </w:r>
          </w:p>
          <w:p w14:paraId="669312C2" w14:textId="77777777" w:rsidR="00476178" w:rsidRPr="00476178" w:rsidRDefault="00476178" w:rsidP="00E330D3">
            <w:pPr>
              <w:numPr>
                <w:ilvl w:val="0"/>
                <w:numId w:val="5"/>
              </w:numPr>
              <w:spacing w:before="0" w:after="160" w:line="259" w:lineRule="auto"/>
              <w:contextualSpacing/>
            </w:pPr>
            <w:r w:rsidRPr="00476178">
              <w:t>Title companies</w:t>
            </w:r>
          </w:p>
          <w:p w14:paraId="33438F31" w14:textId="652F63B8" w:rsidR="00476178" w:rsidRPr="00476178" w:rsidRDefault="00476178" w:rsidP="00E330D3">
            <w:pPr>
              <w:numPr>
                <w:ilvl w:val="0"/>
                <w:numId w:val="5"/>
              </w:numPr>
              <w:spacing w:before="0" w:after="160" w:line="259" w:lineRule="auto"/>
              <w:contextualSpacing/>
            </w:pPr>
            <w:r w:rsidRPr="00476178">
              <w:t>Insur</w:t>
            </w:r>
            <w:r w:rsidR="00FA2B29">
              <w:t>ers</w:t>
            </w:r>
          </w:p>
          <w:p w14:paraId="41D92829" w14:textId="2EF5EB79" w:rsidR="00476178" w:rsidRPr="00476178" w:rsidRDefault="00476178" w:rsidP="00E330D3">
            <w:pPr>
              <w:numPr>
                <w:ilvl w:val="0"/>
                <w:numId w:val="5"/>
              </w:numPr>
              <w:spacing w:before="0" w:after="160" w:line="259" w:lineRule="auto"/>
              <w:contextualSpacing/>
            </w:pPr>
            <w:r w:rsidRPr="00476178">
              <w:t>Funds control</w:t>
            </w:r>
            <w:r w:rsidR="00FA2B29">
              <w:t xml:space="preserve"> providers</w:t>
            </w:r>
          </w:p>
          <w:p w14:paraId="42E6932C" w14:textId="257293B6" w:rsidR="00476178" w:rsidRPr="00476178" w:rsidRDefault="00FA2B29" w:rsidP="00E330D3">
            <w:pPr>
              <w:numPr>
                <w:ilvl w:val="0"/>
                <w:numId w:val="5"/>
              </w:numPr>
              <w:spacing w:before="0" w:after="160" w:line="259" w:lineRule="auto"/>
              <w:contextualSpacing/>
            </w:pPr>
            <w:r>
              <w:t>Construction Managers</w:t>
            </w:r>
          </w:p>
          <w:p w14:paraId="22A8D681" w14:textId="77777777" w:rsidR="00476178" w:rsidRDefault="00476178" w:rsidP="00E330D3">
            <w:pPr>
              <w:numPr>
                <w:ilvl w:val="0"/>
                <w:numId w:val="5"/>
              </w:numPr>
              <w:spacing w:before="0" w:after="160" w:line="259" w:lineRule="auto"/>
              <w:contextualSpacing/>
            </w:pPr>
            <w:r>
              <w:t>Designers</w:t>
            </w:r>
          </w:p>
          <w:p w14:paraId="4239CC55" w14:textId="77777777" w:rsidR="00476178" w:rsidRDefault="00476178" w:rsidP="00E330D3">
            <w:pPr>
              <w:numPr>
                <w:ilvl w:val="0"/>
                <w:numId w:val="5"/>
              </w:numPr>
              <w:spacing w:before="0" w:after="160" w:line="259" w:lineRule="auto"/>
              <w:contextualSpacing/>
            </w:pPr>
            <w:r>
              <w:t>Assessment Districts</w:t>
            </w:r>
          </w:p>
          <w:p w14:paraId="5EB66261" w14:textId="7EAA3987" w:rsidR="00476178" w:rsidRDefault="00476178" w:rsidP="00E330D3">
            <w:pPr>
              <w:numPr>
                <w:ilvl w:val="0"/>
                <w:numId w:val="5"/>
              </w:numPr>
              <w:spacing w:before="0" w:after="160" w:line="259" w:lineRule="auto"/>
              <w:contextualSpacing/>
            </w:pPr>
            <w:r w:rsidRPr="00476178">
              <w:t>Surety</w:t>
            </w:r>
            <w:r>
              <w:t xml:space="preserve"> companies</w:t>
            </w:r>
          </w:p>
        </w:tc>
      </w:tr>
    </w:tbl>
    <w:p w14:paraId="287C49D6" w14:textId="5D32F4B1" w:rsidR="00FC096D" w:rsidRPr="001F7AF1" w:rsidRDefault="00FC096D" w:rsidP="0055349A">
      <w:pPr>
        <w:pStyle w:val="Heading1"/>
      </w:pPr>
      <w:bookmarkStart w:id="2" w:name="_Toc527709052"/>
      <w:r w:rsidRPr="001F7AF1">
        <w:t>Objectives</w:t>
      </w:r>
      <w:r w:rsidR="000553AA">
        <w:t xml:space="preserve"> of Construction and Disbursement Monitoring</w:t>
      </w:r>
      <w:bookmarkEnd w:id="2"/>
    </w:p>
    <w:p w14:paraId="0FED675D" w14:textId="1AA2EAA5" w:rsidR="0055349A" w:rsidRDefault="00F47667" w:rsidP="0055349A">
      <w:r>
        <w:t>The interests of stakeholders can vary. Each stakeholder is responsible to perform an independent evaluation to protect their interests. Evaluation, d</w:t>
      </w:r>
      <w:r w:rsidR="0055349A">
        <w:t xml:space="preserve">isbursement monitoring and controls conducted by the lender are intended to:  </w:t>
      </w:r>
    </w:p>
    <w:p w14:paraId="432952AF" w14:textId="14717B1B" w:rsidR="00FC096D" w:rsidRPr="001F7AF1" w:rsidRDefault="00FC096D" w:rsidP="0055349A">
      <w:pPr>
        <w:pStyle w:val="Heading2"/>
        <w:ind w:left="540" w:hanging="540"/>
      </w:pPr>
      <w:bookmarkStart w:id="3" w:name="_Toc527709053"/>
      <w:r w:rsidRPr="001F7AF1">
        <w:t>Protect assets of the bank</w:t>
      </w:r>
      <w:bookmarkEnd w:id="3"/>
      <w:r w:rsidRPr="001F7AF1">
        <w:t xml:space="preserve"> </w:t>
      </w:r>
    </w:p>
    <w:p w14:paraId="2355E967" w14:textId="3CB9EBCE" w:rsidR="00FC096D" w:rsidRPr="001F7AF1" w:rsidRDefault="00FC096D" w:rsidP="00E330D3">
      <w:pPr>
        <w:numPr>
          <w:ilvl w:val="1"/>
          <w:numId w:val="3"/>
        </w:numPr>
        <w:tabs>
          <w:tab w:val="num" w:pos="1440"/>
        </w:tabs>
        <w:spacing w:before="0" w:after="160" w:line="259" w:lineRule="auto"/>
        <w:ind w:left="648"/>
        <w:contextualSpacing/>
      </w:pPr>
      <w:r w:rsidRPr="001F7AF1">
        <w:t xml:space="preserve">Get a completed, lien-free piece of collateral that matches </w:t>
      </w:r>
      <w:r w:rsidR="0055349A">
        <w:t xml:space="preserve">the </w:t>
      </w:r>
      <w:r w:rsidRPr="001F7AF1">
        <w:t xml:space="preserve">as-complete description from appraisal </w:t>
      </w:r>
    </w:p>
    <w:p w14:paraId="31E7E87D" w14:textId="27ED290C" w:rsidR="00FC096D" w:rsidRPr="001F7AF1" w:rsidRDefault="0055349A" w:rsidP="00E330D3">
      <w:pPr>
        <w:numPr>
          <w:ilvl w:val="1"/>
          <w:numId w:val="3"/>
        </w:numPr>
        <w:tabs>
          <w:tab w:val="num" w:pos="1440"/>
        </w:tabs>
        <w:spacing w:before="0" w:after="160" w:line="259" w:lineRule="auto"/>
        <w:ind w:left="648"/>
        <w:contextualSpacing/>
      </w:pPr>
      <w:r>
        <w:t>Identify deviations from agreed improvements, cost and schedule early in the process</w:t>
      </w:r>
    </w:p>
    <w:p w14:paraId="28CED59C" w14:textId="63D37B23" w:rsidR="00FC096D" w:rsidRPr="001F7AF1" w:rsidRDefault="0055349A" w:rsidP="00E330D3">
      <w:pPr>
        <w:numPr>
          <w:ilvl w:val="1"/>
          <w:numId w:val="3"/>
        </w:numPr>
        <w:tabs>
          <w:tab w:val="num" w:pos="1440"/>
        </w:tabs>
        <w:spacing w:before="0" w:after="160" w:line="259" w:lineRule="auto"/>
        <w:ind w:left="648"/>
        <w:contextualSpacing/>
      </w:pPr>
      <w:r>
        <w:t>Evaluate conformance with the agreed schedule</w:t>
      </w:r>
    </w:p>
    <w:p w14:paraId="1E080566" w14:textId="05B945FF" w:rsidR="0055349A" w:rsidRDefault="0055349A" w:rsidP="00E330D3">
      <w:pPr>
        <w:numPr>
          <w:ilvl w:val="1"/>
          <w:numId w:val="3"/>
        </w:numPr>
        <w:spacing w:before="0" w:after="160" w:line="259" w:lineRule="auto"/>
        <w:ind w:left="648"/>
        <w:contextualSpacing/>
      </w:pPr>
      <w:r>
        <w:t xml:space="preserve">Assure remaining funds are adequate for completion of the work. </w:t>
      </w:r>
    </w:p>
    <w:p w14:paraId="7C4A5346" w14:textId="77777777" w:rsidR="00FC096D" w:rsidRPr="001F7AF1" w:rsidRDefault="00FC096D" w:rsidP="00E330D3">
      <w:pPr>
        <w:numPr>
          <w:ilvl w:val="1"/>
          <w:numId w:val="3"/>
        </w:numPr>
        <w:tabs>
          <w:tab w:val="num" w:pos="1440"/>
        </w:tabs>
        <w:spacing w:before="0" w:after="160" w:line="259" w:lineRule="auto"/>
        <w:ind w:left="648"/>
        <w:contextualSpacing/>
      </w:pPr>
      <w:r w:rsidRPr="001F7AF1">
        <w:t>Identify and evaluate change orders (design, cost, schedule)</w:t>
      </w:r>
    </w:p>
    <w:p w14:paraId="4A69992B" w14:textId="77777777" w:rsidR="00FC096D" w:rsidRPr="001F7AF1" w:rsidRDefault="00FC096D" w:rsidP="00E330D3">
      <w:pPr>
        <w:numPr>
          <w:ilvl w:val="1"/>
          <w:numId w:val="3"/>
        </w:numPr>
        <w:tabs>
          <w:tab w:val="num" w:pos="1440"/>
        </w:tabs>
        <w:spacing w:before="0" w:after="160" w:line="259" w:lineRule="auto"/>
        <w:ind w:left="648"/>
        <w:contextualSpacing/>
      </w:pPr>
      <w:r w:rsidRPr="001F7AF1">
        <w:t>Monitor and evaluate soft costs disbursements</w:t>
      </w:r>
    </w:p>
    <w:p w14:paraId="5025E076" w14:textId="36B63747" w:rsidR="00FC096D" w:rsidRPr="001F7AF1" w:rsidRDefault="0055349A" w:rsidP="0055349A">
      <w:pPr>
        <w:pStyle w:val="Heading2"/>
        <w:ind w:left="540" w:hanging="540"/>
      </w:pPr>
      <w:bookmarkStart w:id="4" w:name="_Toc527709054"/>
      <w:r>
        <w:t>Assure conformance with</w:t>
      </w:r>
      <w:bookmarkEnd w:id="4"/>
      <w:r>
        <w:t xml:space="preserve"> </w:t>
      </w:r>
    </w:p>
    <w:p w14:paraId="5820E08A" w14:textId="77777777" w:rsidR="00FC096D" w:rsidRPr="001F7AF1" w:rsidRDefault="00FC096D" w:rsidP="00E330D3">
      <w:pPr>
        <w:numPr>
          <w:ilvl w:val="1"/>
          <w:numId w:val="3"/>
        </w:numPr>
        <w:tabs>
          <w:tab w:val="num" w:pos="1440"/>
        </w:tabs>
        <w:spacing w:before="0" w:after="160" w:line="259" w:lineRule="auto"/>
        <w:ind w:left="648"/>
        <w:contextualSpacing/>
      </w:pPr>
      <w:r w:rsidRPr="001F7AF1">
        <w:t xml:space="preserve">Regulations </w:t>
      </w:r>
    </w:p>
    <w:p w14:paraId="0052E787" w14:textId="77777777" w:rsidR="00FC096D" w:rsidRPr="001F7AF1" w:rsidRDefault="00FC096D" w:rsidP="00E330D3">
      <w:pPr>
        <w:numPr>
          <w:ilvl w:val="1"/>
          <w:numId w:val="3"/>
        </w:numPr>
        <w:tabs>
          <w:tab w:val="num" w:pos="1440"/>
        </w:tabs>
        <w:spacing w:before="0" w:after="160" w:line="259" w:lineRule="auto"/>
        <w:ind w:left="648"/>
        <w:contextualSpacing/>
      </w:pPr>
      <w:r w:rsidRPr="001F7AF1">
        <w:t>Loan docs</w:t>
      </w:r>
    </w:p>
    <w:p w14:paraId="0788CDE9" w14:textId="77777777" w:rsidR="00FC096D" w:rsidRPr="001F7AF1" w:rsidRDefault="00FC096D" w:rsidP="00E330D3">
      <w:pPr>
        <w:numPr>
          <w:ilvl w:val="1"/>
          <w:numId w:val="3"/>
        </w:numPr>
        <w:tabs>
          <w:tab w:val="num" w:pos="1440"/>
        </w:tabs>
        <w:spacing w:before="0" w:after="160" w:line="259" w:lineRule="auto"/>
        <w:ind w:left="648"/>
        <w:contextualSpacing/>
      </w:pPr>
      <w:r w:rsidRPr="001F7AF1">
        <w:t>Policies and procedures</w:t>
      </w:r>
    </w:p>
    <w:p w14:paraId="2DE4956F" w14:textId="43D36661" w:rsidR="00FC096D" w:rsidRDefault="00FC096D" w:rsidP="000553AA">
      <w:pPr>
        <w:spacing w:before="0" w:after="200"/>
        <w:jc w:val="left"/>
        <w:rPr>
          <w:rFonts w:eastAsiaTheme="majorEastAsia" w:cs="Segoe UI"/>
          <w:b/>
          <w:bCs/>
          <w:sz w:val="22"/>
          <w:szCs w:val="26"/>
        </w:rPr>
      </w:pPr>
    </w:p>
    <w:p w14:paraId="200B7E6B" w14:textId="77777777" w:rsidR="00FD7C56" w:rsidRPr="000553AA" w:rsidRDefault="00FD7C56" w:rsidP="000553AA">
      <w:pPr>
        <w:spacing w:before="0" w:after="200"/>
        <w:jc w:val="left"/>
        <w:rPr>
          <w:rFonts w:eastAsiaTheme="majorEastAsia" w:cs="Segoe UI"/>
          <w:b/>
          <w:bCs/>
          <w:sz w:val="22"/>
          <w:szCs w:val="26"/>
        </w:rPr>
      </w:pPr>
    </w:p>
    <w:p w14:paraId="0D6AD6BA" w14:textId="77777777" w:rsidR="00552ADF" w:rsidRDefault="00552ADF" w:rsidP="00552ADF">
      <w:pPr>
        <w:pStyle w:val="Heading1"/>
        <w:keepNext w:val="0"/>
        <w:keepLines w:val="0"/>
        <w:ind w:left="720" w:hanging="720"/>
      </w:pPr>
      <w:bookmarkStart w:id="5" w:name="_Toc527709055"/>
      <w:r>
        <w:t>Disbursements</w:t>
      </w:r>
      <w:bookmarkEnd w:id="5"/>
    </w:p>
    <w:p w14:paraId="56BC48A7" w14:textId="77777777" w:rsidR="00552ADF" w:rsidRDefault="00552ADF" w:rsidP="00552ADF">
      <w:r>
        <w:t>Disbursements may be made by the lender or funds control company to the borrower or direct to the general contractor, or subs and suppliers at the discretion of the lender.</w:t>
      </w:r>
    </w:p>
    <w:p w14:paraId="103C1985" w14:textId="77777777" w:rsidR="00552ADF" w:rsidRDefault="00552ADF" w:rsidP="00552ADF">
      <w:pPr>
        <w:pStyle w:val="Heading2"/>
        <w:ind w:left="720" w:hanging="720"/>
      </w:pPr>
      <w:bookmarkStart w:id="6" w:name="_Toc527709056"/>
      <w:r>
        <w:t>Borrower Responsibilities</w:t>
      </w:r>
      <w:bookmarkEnd w:id="6"/>
    </w:p>
    <w:p w14:paraId="6CABB78A" w14:textId="0B5A0899" w:rsidR="00552ADF" w:rsidRDefault="00552ADF" w:rsidP="00552ADF">
      <w:r>
        <w:t xml:space="preserve">Borrowers are fully responsible for the management of construction, approval of improvements, changes and disbursements. Lenders typically reserve the right to control disbursements may impose additional requirements; </w:t>
      </w:r>
      <w:r w:rsidR="00FA2B29">
        <w:t>however,</w:t>
      </w:r>
      <w:r>
        <w:t xml:space="preserve"> all controls imposed and oversight performed by or on behalf of the lender is for the lender’s sole benefit and may not be relied upon by the borrower, investors, tenants or others. </w:t>
      </w:r>
    </w:p>
    <w:p w14:paraId="12AD1A21" w14:textId="77777777" w:rsidR="00552ADF" w:rsidRDefault="00552ADF" w:rsidP="00552ADF">
      <w:r>
        <w:t xml:space="preserve">When submitting disbursement requests, borrowers are frequently asked to </w:t>
      </w:r>
    </w:p>
    <w:p w14:paraId="15D0142C" w14:textId="77777777" w:rsidR="00552ADF" w:rsidRDefault="00552ADF" w:rsidP="00552ADF">
      <w:pPr>
        <w:pStyle w:val="ListParagraph"/>
        <w:numPr>
          <w:ilvl w:val="0"/>
          <w:numId w:val="6"/>
        </w:numPr>
        <w:spacing w:line="240" w:lineRule="auto"/>
      </w:pPr>
      <w:r>
        <w:t>Provide supporting documentation</w:t>
      </w:r>
    </w:p>
    <w:p w14:paraId="6AA28797" w14:textId="77777777" w:rsidR="00552ADF" w:rsidRDefault="00552ADF" w:rsidP="00552ADF">
      <w:pPr>
        <w:pStyle w:val="ListParagraph"/>
        <w:numPr>
          <w:ilvl w:val="0"/>
          <w:numId w:val="6"/>
        </w:numPr>
        <w:spacing w:line="240" w:lineRule="auto"/>
      </w:pPr>
      <w:r>
        <w:t>Notify the lender of and request changes to improvements, budgets and schedules</w:t>
      </w:r>
    </w:p>
    <w:p w14:paraId="7838A11D" w14:textId="77777777" w:rsidR="00552ADF" w:rsidRDefault="00552ADF" w:rsidP="00552ADF">
      <w:pPr>
        <w:pStyle w:val="ListParagraph"/>
        <w:numPr>
          <w:ilvl w:val="0"/>
          <w:numId w:val="6"/>
        </w:numPr>
        <w:spacing w:line="240" w:lineRule="auto"/>
      </w:pPr>
      <w:r>
        <w:t>Request and authorize specific disbursement amounts from specific loan budgets</w:t>
      </w:r>
    </w:p>
    <w:p w14:paraId="2F89E001" w14:textId="77777777" w:rsidR="00552ADF" w:rsidRDefault="00552ADF" w:rsidP="00552ADF">
      <w:pPr>
        <w:pStyle w:val="ListParagraph"/>
        <w:numPr>
          <w:ilvl w:val="0"/>
          <w:numId w:val="6"/>
        </w:numPr>
        <w:spacing w:line="240" w:lineRule="auto"/>
      </w:pPr>
      <w:r>
        <w:t>Release the lender from liabilities</w:t>
      </w:r>
    </w:p>
    <w:p w14:paraId="5763539D" w14:textId="77777777" w:rsidR="00552ADF" w:rsidRDefault="00552ADF" w:rsidP="00552ADF">
      <w:pPr>
        <w:pStyle w:val="ListParagraph"/>
        <w:numPr>
          <w:ilvl w:val="0"/>
          <w:numId w:val="6"/>
        </w:numPr>
        <w:spacing w:line="240" w:lineRule="auto"/>
      </w:pPr>
      <w:r>
        <w:t>Reaffirm reps and warrants</w:t>
      </w:r>
    </w:p>
    <w:p w14:paraId="188B924B" w14:textId="77777777" w:rsidR="00552ADF" w:rsidRDefault="00552ADF" w:rsidP="00552ADF">
      <w:pPr>
        <w:pStyle w:val="ListParagraph"/>
        <w:numPr>
          <w:ilvl w:val="0"/>
          <w:numId w:val="6"/>
        </w:numPr>
        <w:spacing w:line="240" w:lineRule="auto"/>
      </w:pPr>
      <w:r>
        <w:t>Provide information concerning sales and leasing activity</w:t>
      </w:r>
    </w:p>
    <w:p w14:paraId="3D77FC12" w14:textId="77777777" w:rsidR="00552ADF" w:rsidRDefault="00552ADF" w:rsidP="00552ADF">
      <w:pPr>
        <w:pStyle w:val="ListParagraph"/>
        <w:numPr>
          <w:ilvl w:val="0"/>
          <w:numId w:val="6"/>
        </w:numPr>
        <w:spacing w:line="240" w:lineRule="auto"/>
      </w:pPr>
      <w:r>
        <w:t>Provide disbursement instruction</w:t>
      </w:r>
    </w:p>
    <w:p w14:paraId="0E4EFD29" w14:textId="6F27E5DF" w:rsidR="0055349A" w:rsidRDefault="00D01E05" w:rsidP="00552ADF">
      <w:pPr>
        <w:pStyle w:val="Heading2"/>
        <w:ind w:left="720" w:hanging="720"/>
      </w:pPr>
      <w:bookmarkStart w:id="7" w:name="_Toc527709057"/>
      <w:r>
        <w:t>Disbursement Requests</w:t>
      </w:r>
      <w:bookmarkEnd w:id="7"/>
    </w:p>
    <w:p w14:paraId="795C2C85" w14:textId="27AB405E" w:rsidR="00D01E05" w:rsidRDefault="0051050A" w:rsidP="00D01E05">
      <w:pPr>
        <w:spacing w:before="0" w:after="200"/>
        <w:jc w:val="left"/>
      </w:pPr>
      <w:r>
        <w:t>Construction d</w:t>
      </w:r>
      <w:r w:rsidR="00D01E05">
        <w:t xml:space="preserve">isbursement can </w:t>
      </w:r>
      <w:r>
        <w:t>be managed in many ways. T</w:t>
      </w:r>
      <w:r w:rsidR="00D01E05">
        <w:t xml:space="preserve">he required documents and degree of monitoring and control can vary significantly depending upon the </w:t>
      </w:r>
      <w:r>
        <w:t xml:space="preserve">project complexity, experience of the development and construction teams, </w:t>
      </w:r>
      <w:r w:rsidR="00D01E05">
        <w:t xml:space="preserve">loan structure, </w:t>
      </w:r>
      <w:r>
        <w:t xml:space="preserve">and </w:t>
      </w:r>
      <w:r w:rsidR="00D01E05">
        <w:t xml:space="preserve">lender </w:t>
      </w:r>
      <w:r>
        <w:t xml:space="preserve">policies, </w:t>
      </w:r>
      <w:r w:rsidR="00D01E05">
        <w:t xml:space="preserve">risk tolerance, experience and resources. </w:t>
      </w:r>
      <w:r>
        <w:t xml:space="preserve">Related activities range from processing and submittal through representations, authorizations and approvals. </w:t>
      </w:r>
    </w:p>
    <w:p w14:paraId="6FD11D7A" w14:textId="44343CCC" w:rsidR="001331E1" w:rsidRDefault="001331E1" w:rsidP="00D01E05">
      <w:pPr>
        <w:spacing w:before="0" w:after="200"/>
        <w:jc w:val="left"/>
      </w:pPr>
      <w:r>
        <w:t xml:space="preserve">It can be useful to review project-specific disbursement processes and requirements with the borrower prior to submission of the first draw. </w:t>
      </w:r>
    </w:p>
    <w:p w14:paraId="24223768" w14:textId="20DC737F" w:rsidR="0051050A" w:rsidRDefault="0051050A" w:rsidP="00552ADF">
      <w:pPr>
        <w:pStyle w:val="Heading3"/>
      </w:pPr>
      <w:bookmarkStart w:id="8" w:name="_Toc527709058"/>
      <w:r>
        <w:t>Typical Disbursement Process</w:t>
      </w:r>
      <w:r w:rsidR="00D63660">
        <w:t>es</w:t>
      </w:r>
      <w:bookmarkEnd w:id="8"/>
    </w:p>
    <w:p w14:paraId="60292FFD" w14:textId="5693D34D" w:rsidR="00FD7C56" w:rsidRDefault="00FD7C56" w:rsidP="00D63660">
      <w:pPr>
        <w:pStyle w:val="ListParagraph"/>
        <w:numPr>
          <w:ilvl w:val="0"/>
          <w:numId w:val="7"/>
        </w:numPr>
      </w:pPr>
      <w:r>
        <w:t>Line of Credit</w:t>
      </w:r>
      <w:r w:rsidR="003361DE">
        <w:t xml:space="preserve"> – Construction is funded from a line of credit established for the borrower. The LOC may be supported by </w:t>
      </w:r>
      <w:r w:rsidR="003361DE">
        <w:t>the subject property</w:t>
      </w:r>
      <w:r w:rsidR="003361DE">
        <w:t xml:space="preserve">, or by </w:t>
      </w:r>
      <w:r w:rsidR="003361DE">
        <w:t>alternative collateral</w:t>
      </w:r>
      <w:r w:rsidR="003361DE">
        <w:t xml:space="preserve">. </w:t>
      </w:r>
    </w:p>
    <w:p w14:paraId="6CB81CA2" w14:textId="7B13037E" w:rsidR="00FD7C56" w:rsidRDefault="00FD7C56" w:rsidP="00D63660">
      <w:pPr>
        <w:pStyle w:val="ListParagraph"/>
        <w:numPr>
          <w:ilvl w:val="0"/>
          <w:numId w:val="7"/>
        </w:numPr>
      </w:pPr>
      <w:r>
        <w:t>Reimbursement of Invoices</w:t>
      </w:r>
      <w:r w:rsidR="003361DE">
        <w:t xml:space="preserve"> – Lenders sometimes reimburse construction costs based on the submission of invoices. This approach is typically limited to </w:t>
      </w:r>
      <w:r w:rsidR="00157656">
        <w:t xml:space="preserve">reimbursements for soft costs, or for construction hard costs when </w:t>
      </w:r>
      <w:r w:rsidR="003361DE">
        <w:t xml:space="preserve">the total disbursement budget represents only a small portion of the property value such as disbursement of insurance proceeds, minor renovations and tenant improvements. </w:t>
      </w:r>
    </w:p>
    <w:p w14:paraId="443F5F21" w14:textId="7B3A79DD" w:rsidR="00FD7C56" w:rsidRDefault="00FD7C56" w:rsidP="00D63660">
      <w:pPr>
        <w:pStyle w:val="ListParagraph"/>
        <w:numPr>
          <w:ilvl w:val="0"/>
          <w:numId w:val="7"/>
        </w:numPr>
      </w:pPr>
      <w:r>
        <w:t>Stage Draws</w:t>
      </w:r>
      <w:r w:rsidR="003361DE">
        <w:t xml:space="preserve"> – </w:t>
      </w:r>
      <w:r w:rsidR="00D63660">
        <w:t xml:space="preserve">Construction costs are funded based on completion of construction thresholds; e.g. completion of the foundation, framing, roofing, etc. </w:t>
      </w:r>
    </w:p>
    <w:p w14:paraId="796E9940" w14:textId="77777777" w:rsidR="00D63660" w:rsidRDefault="00D63660" w:rsidP="00D63660">
      <w:pPr>
        <w:pStyle w:val="ListParagraph"/>
        <w:numPr>
          <w:ilvl w:val="0"/>
          <w:numId w:val="7"/>
        </w:numPr>
      </w:pPr>
      <w:r>
        <w:t xml:space="preserve">Construction Draws – Contractor pay requests and supporting documents are submitted individually evaluated. </w:t>
      </w:r>
    </w:p>
    <w:p w14:paraId="476557F4" w14:textId="62372AB7" w:rsidR="00FF05ED" w:rsidRDefault="00FF05ED" w:rsidP="00D63660">
      <w:pPr>
        <w:pStyle w:val="ListParagraph"/>
        <w:numPr>
          <w:ilvl w:val="1"/>
          <w:numId w:val="7"/>
        </w:numPr>
      </w:pPr>
      <w:r>
        <w:t>Subcontractors and suppliers submit required information to the GC</w:t>
      </w:r>
    </w:p>
    <w:p w14:paraId="56977FC0" w14:textId="0011D6AD" w:rsidR="00FF05ED" w:rsidRDefault="00FF05ED" w:rsidP="00D63660">
      <w:pPr>
        <w:pStyle w:val="ListParagraph"/>
        <w:numPr>
          <w:ilvl w:val="1"/>
          <w:numId w:val="7"/>
        </w:numPr>
      </w:pPr>
      <w:r>
        <w:t>General contractor assembles invoices and other required documentation</w:t>
      </w:r>
    </w:p>
    <w:p w14:paraId="11824D7B" w14:textId="4202CBF2" w:rsidR="00FF05ED" w:rsidRDefault="00FF05ED" w:rsidP="00D63660">
      <w:pPr>
        <w:pStyle w:val="ListParagraph"/>
        <w:numPr>
          <w:ilvl w:val="1"/>
          <w:numId w:val="7"/>
        </w:numPr>
      </w:pPr>
      <w:r>
        <w:t>Draw request is reviewed with architect, borrower and lender</w:t>
      </w:r>
    </w:p>
    <w:p w14:paraId="015F251B" w14:textId="78F67272" w:rsidR="0051050A" w:rsidRDefault="00FF05ED" w:rsidP="00D63660">
      <w:pPr>
        <w:pStyle w:val="ListParagraph"/>
        <w:numPr>
          <w:ilvl w:val="1"/>
          <w:numId w:val="7"/>
        </w:numPr>
      </w:pPr>
      <w:r>
        <w:lastRenderedPageBreak/>
        <w:t xml:space="preserve">Contractor submits finalized and executed draw request to the borrower </w:t>
      </w:r>
    </w:p>
    <w:p w14:paraId="21917B33" w14:textId="2C7D362E" w:rsidR="00FF05ED" w:rsidRDefault="00FF05ED" w:rsidP="00D63660">
      <w:pPr>
        <w:pStyle w:val="ListParagraph"/>
        <w:numPr>
          <w:ilvl w:val="1"/>
          <w:numId w:val="7"/>
        </w:numPr>
      </w:pPr>
      <w:r>
        <w:t xml:space="preserve">Borrower collects invoices and documentation required to support other soft costs </w:t>
      </w:r>
    </w:p>
    <w:p w14:paraId="1F262C60" w14:textId="349DFED6" w:rsidR="00FF05ED" w:rsidRDefault="00FF05ED" w:rsidP="00D63660">
      <w:pPr>
        <w:pStyle w:val="ListParagraph"/>
        <w:numPr>
          <w:ilvl w:val="1"/>
          <w:numId w:val="7"/>
        </w:numPr>
      </w:pPr>
      <w:r>
        <w:t>Borrower submits finalized draw request and an executed disbursement request form to lender</w:t>
      </w:r>
    </w:p>
    <w:p w14:paraId="79A8B92F" w14:textId="09A8F91C" w:rsidR="00D63660" w:rsidRDefault="00FF05ED" w:rsidP="00D63660">
      <w:pPr>
        <w:pStyle w:val="ListParagraph"/>
        <w:numPr>
          <w:ilvl w:val="1"/>
          <w:numId w:val="7"/>
        </w:numPr>
      </w:pPr>
      <w:r>
        <w:t xml:space="preserve">Lender reviews and evaluates requested disbursements, coordinates additional information needed for processing, and disburses funds. </w:t>
      </w:r>
    </w:p>
    <w:p w14:paraId="253BFA2A" w14:textId="46908D87" w:rsidR="00FF05ED" w:rsidRDefault="00FF05ED" w:rsidP="00552ADF">
      <w:pPr>
        <w:pStyle w:val="Heading3"/>
      </w:pPr>
      <w:bookmarkStart w:id="9" w:name="_Toc527709059"/>
      <w:r>
        <w:t>Supporting Documentation</w:t>
      </w:r>
      <w:bookmarkEnd w:id="9"/>
    </w:p>
    <w:p w14:paraId="05A93B1B" w14:textId="1EB72C61" w:rsidR="00FA2014" w:rsidRDefault="00D63660" w:rsidP="00D63660">
      <w:pPr>
        <w:pStyle w:val="ListParagraph"/>
        <w:numPr>
          <w:ilvl w:val="0"/>
          <w:numId w:val="6"/>
        </w:numPr>
      </w:pPr>
      <w:r>
        <w:t>T</w:t>
      </w:r>
      <w:r w:rsidR="00FA2014">
        <w:t xml:space="preserve">ax reporting information </w:t>
      </w:r>
      <w:r>
        <w:t xml:space="preserve">is typically required </w:t>
      </w:r>
      <w:r w:rsidR="00FA2014">
        <w:t xml:space="preserve">for all entities to be paid directly </w:t>
      </w:r>
      <w:r>
        <w:t>by the lender</w:t>
      </w:r>
      <w:r w:rsidR="00FA2014">
        <w:t>.</w:t>
      </w:r>
    </w:p>
    <w:p w14:paraId="01F00269" w14:textId="648429A1" w:rsidR="00157656" w:rsidRDefault="00D63660" w:rsidP="00157656">
      <w:pPr>
        <w:pStyle w:val="ListParagraph"/>
        <w:numPr>
          <w:ilvl w:val="0"/>
          <w:numId w:val="6"/>
        </w:numPr>
      </w:pPr>
      <w:r>
        <w:t>Requirements for the</w:t>
      </w:r>
      <w:r w:rsidRPr="00D63660">
        <w:t xml:space="preserve"> submission of </w:t>
      </w:r>
      <w:r>
        <w:t xml:space="preserve">additional </w:t>
      </w:r>
      <w:r w:rsidRPr="00D63660">
        <w:t xml:space="preserve">supporting documentation can vary depending on the risk tolerance of the lender. </w:t>
      </w:r>
      <w:r w:rsidR="00157656">
        <w:t>For example, additional documentation may include:</w:t>
      </w:r>
    </w:p>
    <w:p w14:paraId="4FD3C6E7" w14:textId="27DBCE74" w:rsidR="001331E1" w:rsidRPr="00B45CAC" w:rsidRDefault="001331E1" w:rsidP="00B45CAC">
      <w:pPr>
        <w:pStyle w:val="Heading4"/>
      </w:pPr>
      <w:r w:rsidRPr="00B45CAC">
        <w:t>Borrower</w:t>
      </w:r>
      <w:r w:rsidR="00552ADF" w:rsidRPr="00B45CAC">
        <w:t>’</w:t>
      </w:r>
      <w:r w:rsidRPr="00B45CAC">
        <w:t>s</w:t>
      </w:r>
      <w:r w:rsidR="00552ADF" w:rsidRPr="00B45CAC">
        <w:t xml:space="preserve"> Request</w:t>
      </w:r>
    </w:p>
    <w:p w14:paraId="368BF49C" w14:textId="3CE554CB" w:rsidR="00552ADF" w:rsidRPr="00552ADF" w:rsidRDefault="00552ADF" w:rsidP="00552ADF">
      <w:r>
        <w:t>Borrowers are typically required to request and authorize requests for disbursement; however, requests direct from the General Contractor are sometimes accepted. Borrower requests commonly include:</w:t>
      </w:r>
    </w:p>
    <w:p w14:paraId="4A38761C" w14:textId="44F2B73A" w:rsidR="001331E1" w:rsidRDefault="001331E1" w:rsidP="00E330D3">
      <w:pPr>
        <w:pStyle w:val="ListParagraph"/>
        <w:numPr>
          <w:ilvl w:val="0"/>
          <w:numId w:val="6"/>
        </w:numPr>
      </w:pPr>
      <w:r>
        <w:t xml:space="preserve">A completed and executed disbursement request form </w:t>
      </w:r>
    </w:p>
    <w:p w14:paraId="1A896AE8" w14:textId="77777777" w:rsidR="001331E1" w:rsidRDefault="001331E1" w:rsidP="00E330D3">
      <w:pPr>
        <w:pStyle w:val="ListParagraph"/>
        <w:numPr>
          <w:ilvl w:val="0"/>
          <w:numId w:val="6"/>
        </w:numPr>
      </w:pPr>
      <w:r w:rsidRPr="001331E1">
        <w:t>Identif</w:t>
      </w:r>
      <w:r>
        <w:t xml:space="preserve">ication of the amount authorized from each </w:t>
      </w:r>
      <w:r w:rsidRPr="001331E1">
        <w:t xml:space="preserve">loan budget </w:t>
      </w:r>
      <w:r>
        <w:t>line item</w:t>
      </w:r>
    </w:p>
    <w:p w14:paraId="1B285B33" w14:textId="1943813D" w:rsidR="001331E1" w:rsidRPr="001331E1" w:rsidRDefault="001331E1" w:rsidP="00E330D3">
      <w:pPr>
        <w:pStyle w:val="ListParagraph"/>
        <w:numPr>
          <w:ilvl w:val="0"/>
          <w:numId w:val="6"/>
        </w:numPr>
      </w:pPr>
      <w:r w:rsidRPr="001331E1">
        <w:t>Authoriz</w:t>
      </w:r>
      <w:r>
        <w:t xml:space="preserve">ation of requested </w:t>
      </w:r>
      <w:r w:rsidRPr="001331E1">
        <w:t>disbursements</w:t>
      </w:r>
    </w:p>
    <w:p w14:paraId="3A5D989B" w14:textId="256E3202" w:rsidR="001331E1" w:rsidRDefault="001331E1" w:rsidP="00E330D3">
      <w:pPr>
        <w:pStyle w:val="ListParagraph"/>
        <w:numPr>
          <w:ilvl w:val="0"/>
          <w:numId w:val="6"/>
        </w:numPr>
      </w:pPr>
      <w:r>
        <w:t>Funding instructions</w:t>
      </w:r>
    </w:p>
    <w:p w14:paraId="0F81305A" w14:textId="5D724CC6" w:rsidR="001331E1" w:rsidRDefault="001331E1" w:rsidP="00E330D3">
      <w:pPr>
        <w:pStyle w:val="ListParagraph"/>
        <w:numPr>
          <w:ilvl w:val="0"/>
          <w:numId w:val="6"/>
        </w:numPr>
      </w:pPr>
      <w:r>
        <w:t>Recertification of conformance with loan requirements, reps and warranties</w:t>
      </w:r>
    </w:p>
    <w:p w14:paraId="4DAF4412" w14:textId="623A90A1" w:rsidR="001331E1" w:rsidRDefault="001331E1" w:rsidP="00E330D3">
      <w:pPr>
        <w:pStyle w:val="ListParagraph"/>
        <w:numPr>
          <w:ilvl w:val="0"/>
          <w:numId w:val="6"/>
        </w:numPr>
      </w:pPr>
      <w:r>
        <w:t xml:space="preserve">Disclosure of </w:t>
      </w:r>
      <w:r w:rsidRPr="001331E1">
        <w:t>revisions, problems, new issues</w:t>
      </w:r>
      <w:r>
        <w:t>, additional contracts, sales and lease information and other matters governed by the loan agreement</w:t>
      </w:r>
    </w:p>
    <w:p w14:paraId="7BCB5903" w14:textId="76B72A1A" w:rsidR="001331E1" w:rsidRDefault="001331E1" w:rsidP="00E330D3">
      <w:pPr>
        <w:pStyle w:val="ListParagraph"/>
        <w:numPr>
          <w:ilvl w:val="0"/>
          <w:numId w:val="6"/>
        </w:numPr>
      </w:pPr>
      <w:r>
        <w:t>Copies of owner-approved change orders and change orders requested for approval</w:t>
      </w:r>
      <w:r w:rsidR="0050019C">
        <w:t xml:space="preserve"> (Sometimes included in the contractor’s request.)</w:t>
      </w:r>
    </w:p>
    <w:p w14:paraId="0CA6F40C" w14:textId="740828F0" w:rsidR="00FF05ED" w:rsidRDefault="0050019C" w:rsidP="00B45CAC">
      <w:pPr>
        <w:pStyle w:val="Heading4"/>
      </w:pPr>
      <w:r w:rsidRPr="00B45CAC">
        <w:t>Soft</w:t>
      </w:r>
      <w:r>
        <w:t xml:space="preserve"> </w:t>
      </w:r>
      <w:r w:rsidR="00FF05ED" w:rsidRPr="00B45CAC">
        <w:t>Costs</w:t>
      </w:r>
    </w:p>
    <w:p w14:paraId="781767BF" w14:textId="716F2A5C" w:rsidR="0050019C" w:rsidRPr="0050019C" w:rsidRDefault="0050019C" w:rsidP="00E330D3">
      <w:pPr>
        <w:pStyle w:val="ListParagraph"/>
        <w:numPr>
          <w:ilvl w:val="0"/>
          <w:numId w:val="6"/>
        </w:numPr>
      </w:pPr>
      <w:r>
        <w:t xml:space="preserve">Copies of invoices and cancelled checks for services to be funded or reimbursed. </w:t>
      </w:r>
    </w:p>
    <w:p w14:paraId="5C33230C" w14:textId="1CAB55D2" w:rsidR="00FF05ED" w:rsidRDefault="0050019C" w:rsidP="00B45CAC">
      <w:pPr>
        <w:pStyle w:val="Heading4"/>
      </w:pPr>
      <w:bookmarkStart w:id="10" w:name="_Toc527709060"/>
      <w:r>
        <w:t xml:space="preserve">Construction Hard </w:t>
      </w:r>
      <w:r w:rsidR="00FF05ED">
        <w:t>Costs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2014" w14:paraId="7F28C31B" w14:textId="77777777" w:rsidTr="00FA2014">
        <w:tc>
          <w:tcPr>
            <w:tcW w:w="4675" w:type="dxa"/>
          </w:tcPr>
          <w:p w14:paraId="3B50104B" w14:textId="77777777" w:rsidR="00FA2014" w:rsidRDefault="00FA2014" w:rsidP="00E330D3">
            <w:pPr>
              <w:pStyle w:val="ListParagraph"/>
              <w:numPr>
                <w:ilvl w:val="0"/>
                <w:numId w:val="6"/>
              </w:numPr>
            </w:pPr>
            <w:r w:rsidRPr="0050019C">
              <w:t>G702 (or equivalent)</w:t>
            </w:r>
            <w:r>
              <w:t xml:space="preserve"> completed and executed by GC, Architect and owner (Notarization is not always required.)</w:t>
            </w:r>
          </w:p>
          <w:p w14:paraId="098DD5DB" w14:textId="77777777" w:rsidR="00FA2014" w:rsidRPr="0050019C" w:rsidRDefault="00FA2014" w:rsidP="00E330D3">
            <w:pPr>
              <w:pStyle w:val="ListParagraph"/>
              <w:numPr>
                <w:ilvl w:val="0"/>
                <w:numId w:val="6"/>
              </w:numPr>
            </w:pPr>
            <w:r>
              <w:t>G</w:t>
            </w:r>
            <w:r w:rsidRPr="0050019C">
              <w:t>703 (or equivalent)</w:t>
            </w:r>
          </w:p>
          <w:p w14:paraId="2151E669" w14:textId="77777777" w:rsidR="00FA2014" w:rsidRDefault="00FA2014" w:rsidP="00E330D3">
            <w:pPr>
              <w:pStyle w:val="ListParagraph"/>
              <w:numPr>
                <w:ilvl w:val="0"/>
                <w:numId w:val="6"/>
              </w:numPr>
            </w:pPr>
            <w:r>
              <w:t>Supporting invoices</w:t>
            </w:r>
          </w:p>
          <w:p w14:paraId="5E01184B" w14:textId="5E2C7F1A" w:rsidR="00FA2014" w:rsidRPr="0050019C" w:rsidRDefault="00FA2014" w:rsidP="00E330D3">
            <w:pPr>
              <w:pStyle w:val="ListParagraph"/>
              <w:numPr>
                <w:ilvl w:val="0"/>
                <w:numId w:val="6"/>
              </w:numPr>
            </w:pPr>
            <w:r w:rsidRPr="00FA2014">
              <w:t>Lien releases (Conditional for current draw, unconditional for previous)</w:t>
            </w:r>
          </w:p>
          <w:p w14:paraId="6439E353" w14:textId="6C17100B" w:rsidR="00FA2014" w:rsidRDefault="00FA2014" w:rsidP="00E330D3">
            <w:pPr>
              <w:pStyle w:val="ListParagraph"/>
              <w:numPr>
                <w:ilvl w:val="0"/>
                <w:numId w:val="6"/>
              </w:numPr>
            </w:pPr>
            <w:r w:rsidRPr="00FA2014">
              <w:t>Sworn Contractor Statement</w:t>
            </w:r>
          </w:p>
        </w:tc>
        <w:tc>
          <w:tcPr>
            <w:tcW w:w="4675" w:type="dxa"/>
          </w:tcPr>
          <w:p w14:paraId="4BCF778C" w14:textId="77777777" w:rsidR="00FA2014" w:rsidRPr="00FA2014" w:rsidRDefault="00FA2014" w:rsidP="00E330D3">
            <w:pPr>
              <w:pStyle w:val="ListParagraph"/>
              <w:numPr>
                <w:ilvl w:val="0"/>
                <w:numId w:val="6"/>
              </w:numPr>
            </w:pPr>
            <w:r w:rsidRPr="00FA2014">
              <w:t>Updated budget</w:t>
            </w:r>
          </w:p>
          <w:p w14:paraId="1FBDC842" w14:textId="77777777" w:rsidR="00FA2014" w:rsidRDefault="00FA2014" w:rsidP="00E330D3">
            <w:pPr>
              <w:pStyle w:val="ListParagraph"/>
              <w:numPr>
                <w:ilvl w:val="0"/>
                <w:numId w:val="6"/>
              </w:numPr>
            </w:pPr>
            <w:r w:rsidRPr="00FA2014">
              <w:t xml:space="preserve">Updated schedule </w:t>
            </w:r>
          </w:p>
          <w:p w14:paraId="0EB7EDDF" w14:textId="5F3F7023" w:rsidR="00FA2014" w:rsidRPr="00FA2014" w:rsidRDefault="00FA2014" w:rsidP="00E330D3">
            <w:pPr>
              <w:pStyle w:val="ListParagraph"/>
              <w:numPr>
                <w:ilvl w:val="0"/>
                <w:numId w:val="6"/>
              </w:numPr>
            </w:pPr>
            <w:r w:rsidRPr="00FA2014">
              <w:t>Change orders and supporting docs</w:t>
            </w:r>
          </w:p>
          <w:p w14:paraId="412D47AC" w14:textId="77777777" w:rsidR="00FA2014" w:rsidRPr="00FA2014" w:rsidRDefault="00FA2014" w:rsidP="00E330D3">
            <w:pPr>
              <w:pStyle w:val="ListParagraph"/>
              <w:numPr>
                <w:ilvl w:val="0"/>
                <w:numId w:val="6"/>
              </w:numPr>
            </w:pPr>
            <w:r w:rsidRPr="00FA2014">
              <w:t>Change log, RFIs</w:t>
            </w:r>
          </w:p>
          <w:p w14:paraId="01236C27" w14:textId="77777777" w:rsidR="00FA2014" w:rsidRPr="00FA2014" w:rsidRDefault="00FA2014" w:rsidP="00E330D3">
            <w:pPr>
              <w:pStyle w:val="ListParagraph"/>
              <w:numPr>
                <w:ilvl w:val="0"/>
                <w:numId w:val="6"/>
              </w:numPr>
            </w:pPr>
            <w:r w:rsidRPr="00FA2014">
              <w:t xml:space="preserve">Buyout log </w:t>
            </w:r>
          </w:p>
          <w:p w14:paraId="46F8BF67" w14:textId="77777777" w:rsidR="00FA2014" w:rsidRPr="00FA2014" w:rsidRDefault="00FA2014" w:rsidP="00E330D3">
            <w:pPr>
              <w:pStyle w:val="ListParagraph"/>
              <w:numPr>
                <w:ilvl w:val="0"/>
                <w:numId w:val="6"/>
              </w:numPr>
            </w:pPr>
            <w:r w:rsidRPr="00FA2014">
              <w:t>Subcontracts</w:t>
            </w:r>
          </w:p>
          <w:p w14:paraId="4FD3A4D7" w14:textId="77777777" w:rsidR="00FA2014" w:rsidRPr="00FA2014" w:rsidRDefault="00FA2014" w:rsidP="00E330D3">
            <w:pPr>
              <w:pStyle w:val="ListParagraph"/>
              <w:numPr>
                <w:ilvl w:val="0"/>
                <w:numId w:val="6"/>
              </w:numPr>
            </w:pPr>
            <w:r w:rsidRPr="00FA2014">
              <w:t>Tax reporting information</w:t>
            </w:r>
          </w:p>
          <w:p w14:paraId="0567A9EB" w14:textId="77777777" w:rsidR="00FA2014" w:rsidRPr="00FA2014" w:rsidRDefault="00FA2014" w:rsidP="00E330D3">
            <w:pPr>
              <w:pStyle w:val="ListParagraph"/>
              <w:numPr>
                <w:ilvl w:val="0"/>
                <w:numId w:val="6"/>
              </w:numPr>
            </w:pPr>
            <w:r w:rsidRPr="00FA2014">
              <w:t>Insurance certificates</w:t>
            </w:r>
          </w:p>
          <w:p w14:paraId="1BD2C052" w14:textId="6A094216" w:rsidR="00FA2014" w:rsidRDefault="00FA2014" w:rsidP="00E330D3">
            <w:pPr>
              <w:pStyle w:val="ListParagraph"/>
              <w:numPr>
                <w:ilvl w:val="0"/>
                <w:numId w:val="6"/>
              </w:numPr>
            </w:pPr>
            <w:r w:rsidRPr="00FA2014">
              <w:t>Special inspections/testing</w:t>
            </w:r>
          </w:p>
        </w:tc>
      </w:tr>
    </w:tbl>
    <w:p w14:paraId="46DF9AE2" w14:textId="592ACB0B" w:rsidR="00B71558" w:rsidRDefault="00B71558" w:rsidP="00FC096D"/>
    <w:p w14:paraId="59BC45E1" w14:textId="009D9206" w:rsidR="00B71558" w:rsidRPr="00FC096D" w:rsidRDefault="00B71558" w:rsidP="00FC096D">
      <w:r>
        <w:t>ADDITIONAL TOPICS TO BE ADDED TO SUBSEQUENT DRAFTS</w:t>
      </w:r>
    </w:p>
    <w:sectPr w:rsidR="00B71558" w:rsidRPr="00FC096D" w:rsidSect="0018670F">
      <w:footerReference w:type="default" r:id="rId10"/>
      <w:pgSz w:w="12240" w:h="15840"/>
      <w:pgMar w:top="-900" w:right="1440" w:bottom="1260" w:left="1440" w:header="630" w:footer="8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2ACC" w14:textId="77777777" w:rsidR="00027F49" w:rsidRDefault="00027F49" w:rsidP="00B21FA6">
      <w:pPr>
        <w:spacing w:before="0" w:after="0" w:line="240" w:lineRule="auto"/>
      </w:pPr>
      <w:r>
        <w:separator/>
      </w:r>
    </w:p>
  </w:endnote>
  <w:endnote w:type="continuationSeparator" w:id="0">
    <w:p w14:paraId="12915A7F" w14:textId="77777777" w:rsidR="00027F49" w:rsidRDefault="00027F49" w:rsidP="00B21FA6">
      <w:pPr>
        <w:spacing w:before="0" w:after="0" w:line="240" w:lineRule="auto"/>
      </w:pPr>
      <w:r>
        <w:continuationSeparator/>
      </w:r>
    </w:p>
  </w:endnote>
  <w:endnote w:type="continuationNotice" w:id="1">
    <w:p w14:paraId="3782D4BD" w14:textId="77777777" w:rsidR="00027F49" w:rsidRDefault="00027F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E65D" w14:textId="1D179B5E" w:rsidR="00707313" w:rsidRPr="006A2F16" w:rsidRDefault="00707313" w:rsidP="00137E88">
    <w:pPr>
      <w:pStyle w:val="Footers"/>
      <w:pBdr>
        <w:top w:val="none" w:sz="0" w:space="0" w:color="auto"/>
      </w:pBdr>
    </w:pPr>
    <w:r>
      <w:drawing>
        <wp:anchor distT="36576" distB="36576" distL="36576" distR="36576" simplePos="0" relativeHeight="251734016" behindDoc="0" locked="0" layoutInCell="1" allowOverlap="1" wp14:anchorId="41A76E4D" wp14:editId="2DB02703">
          <wp:simplePos x="0" y="0"/>
          <wp:positionH relativeFrom="column">
            <wp:posOffset>4629150</wp:posOffset>
          </wp:positionH>
          <wp:positionV relativeFrom="paragraph">
            <wp:posOffset>8443595</wp:posOffset>
          </wp:positionV>
          <wp:extent cx="2228850" cy="700405"/>
          <wp:effectExtent l="19050" t="0" r="0" b="0"/>
          <wp:wrapNone/>
          <wp:docPr id="658" name="Picture 3" descr="logoconce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cept2"/>
                  <pic:cNvPicPr>
                    <a:picLocks noChangeAspect="1" noChangeArrowheads="1"/>
                  </pic:cNvPicPr>
                </pic:nvPicPr>
                <pic:blipFill>
                  <a:blip r:embed="rId1" cstate="screen"/>
                  <a:srcRect/>
                  <a:stretch>
                    <a:fillRect/>
                  </a:stretch>
                </pic:blipFill>
                <pic:spPr bwMode="auto">
                  <a:xfrm>
                    <a:off x="0" y="0"/>
                    <a:ext cx="2228850" cy="700405"/>
                  </a:xfrm>
                  <a:prstGeom prst="rect">
                    <a:avLst/>
                  </a:prstGeom>
                  <a:noFill/>
                  <a:ln w="9525" algn="in">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BED4" w14:textId="77777777" w:rsidR="00027F49" w:rsidRDefault="00027F49" w:rsidP="00B21FA6">
      <w:pPr>
        <w:spacing w:before="0" w:after="0" w:line="240" w:lineRule="auto"/>
      </w:pPr>
      <w:r>
        <w:separator/>
      </w:r>
    </w:p>
  </w:footnote>
  <w:footnote w:type="continuationSeparator" w:id="0">
    <w:p w14:paraId="1268AA4D" w14:textId="77777777" w:rsidR="00027F49" w:rsidRDefault="00027F49" w:rsidP="00B21FA6">
      <w:pPr>
        <w:spacing w:before="0" w:after="0" w:line="240" w:lineRule="auto"/>
      </w:pPr>
      <w:r>
        <w:continuationSeparator/>
      </w:r>
    </w:p>
  </w:footnote>
  <w:footnote w:type="continuationNotice" w:id="1">
    <w:p w14:paraId="1D199FE6" w14:textId="77777777" w:rsidR="00027F49" w:rsidRDefault="00027F4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AAB"/>
    <w:multiLevelType w:val="multilevel"/>
    <w:tmpl w:val="8F4A96FE"/>
    <w:lvl w:ilvl="0">
      <w:start w:val="1"/>
      <w:numFmt w:val="decimal"/>
      <w:pStyle w:val="Heading1"/>
      <w:lvlText w:val="%1.0"/>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1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03336DA"/>
    <w:multiLevelType w:val="hybridMultilevel"/>
    <w:tmpl w:val="FB7A11D8"/>
    <w:lvl w:ilvl="0" w:tplc="CBCCE270">
      <w:start w:val="1"/>
      <w:numFmt w:val="bullet"/>
      <w:lvlText w:val="•"/>
      <w:lvlJc w:val="left"/>
      <w:pPr>
        <w:tabs>
          <w:tab w:val="num" w:pos="720"/>
        </w:tabs>
        <w:ind w:left="720" w:hanging="360"/>
      </w:pPr>
      <w:rPr>
        <w:rFonts w:ascii="Arial" w:hAnsi="Arial" w:hint="default"/>
      </w:rPr>
    </w:lvl>
    <w:lvl w:ilvl="1" w:tplc="8A882B30">
      <w:start w:val="2817"/>
      <w:numFmt w:val="bullet"/>
      <w:lvlText w:val="–"/>
      <w:lvlJc w:val="left"/>
      <w:pPr>
        <w:tabs>
          <w:tab w:val="num" w:pos="1440"/>
        </w:tabs>
        <w:ind w:left="1440" w:hanging="360"/>
      </w:pPr>
      <w:rPr>
        <w:rFonts w:ascii="Arial" w:hAnsi="Arial" w:hint="default"/>
      </w:rPr>
    </w:lvl>
    <w:lvl w:ilvl="2" w:tplc="1CCAD9B0" w:tentative="1">
      <w:start w:val="1"/>
      <w:numFmt w:val="bullet"/>
      <w:lvlText w:val="•"/>
      <w:lvlJc w:val="left"/>
      <w:pPr>
        <w:tabs>
          <w:tab w:val="num" w:pos="2160"/>
        </w:tabs>
        <w:ind w:left="2160" w:hanging="360"/>
      </w:pPr>
      <w:rPr>
        <w:rFonts w:ascii="Arial" w:hAnsi="Arial" w:hint="default"/>
      </w:rPr>
    </w:lvl>
    <w:lvl w:ilvl="3" w:tplc="B5BEB7F6" w:tentative="1">
      <w:start w:val="1"/>
      <w:numFmt w:val="bullet"/>
      <w:lvlText w:val="•"/>
      <w:lvlJc w:val="left"/>
      <w:pPr>
        <w:tabs>
          <w:tab w:val="num" w:pos="2880"/>
        </w:tabs>
        <w:ind w:left="2880" w:hanging="360"/>
      </w:pPr>
      <w:rPr>
        <w:rFonts w:ascii="Arial" w:hAnsi="Arial" w:hint="default"/>
      </w:rPr>
    </w:lvl>
    <w:lvl w:ilvl="4" w:tplc="D3DC4A02" w:tentative="1">
      <w:start w:val="1"/>
      <w:numFmt w:val="bullet"/>
      <w:lvlText w:val="•"/>
      <w:lvlJc w:val="left"/>
      <w:pPr>
        <w:tabs>
          <w:tab w:val="num" w:pos="3600"/>
        </w:tabs>
        <w:ind w:left="3600" w:hanging="360"/>
      </w:pPr>
      <w:rPr>
        <w:rFonts w:ascii="Arial" w:hAnsi="Arial" w:hint="default"/>
      </w:rPr>
    </w:lvl>
    <w:lvl w:ilvl="5" w:tplc="7D0EF2CA" w:tentative="1">
      <w:start w:val="1"/>
      <w:numFmt w:val="bullet"/>
      <w:lvlText w:val="•"/>
      <w:lvlJc w:val="left"/>
      <w:pPr>
        <w:tabs>
          <w:tab w:val="num" w:pos="4320"/>
        </w:tabs>
        <w:ind w:left="4320" w:hanging="360"/>
      </w:pPr>
      <w:rPr>
        <w:rFonts w:ascii="Arial" w:hAnsi="Arial" w:hint="default"/>
      </w:rPr>
    </w:lvl>
    <w:lvl w:ilvl="6" w:tplc="CDAA7B96" w:tentative="1">
      <w:start w:val="1"/>
      <w:numFmt w:val="bullet"/>
      <w:lvlText w:val="•"/>
      <w:lvlJc w:val="left"/>
      <w:pPr>
        <w:tabs>
          <w:tab w:val="num" w:pos="5040"/>
        </w:tabs>
        <w:ind w:left="5040" w:hanging="360"/>
      </w:pPr>
      <w:rPr>
        <w:rFonts w:ascii="Arial" w:hAnsi="Arial" w:hint="default"/>
      </w:rPr>
    </w:lvl>
    <w:lvl w:ilvl="7" w:tplc="9796C81A" w:tentative="1">
      <w:start w:val="1"/>
      <w:numFmt w:val="bullet"/>
      <w:lvlText w:val="•"/>
      <w:lvlJc w:val="left"/>
      <w:pPr>
        <w:tabs>
          <w:tab w:val="num" w:pos="5760"/>
        </w:tabs>
        <w:ind w:left="5760" w:hanging="360"/>
      </w:pPr>
      <w:rPr>
        <w:rFonts w:ascii="Arial" w:hAnsi="Arial" w:hint="default"/>
      </w:rPr>
    </w:lvl>
    <w:lvl w:ilvl="8" w:tplc="4386D3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C0424"/>
    <w:multiLevelType w:val="hybridMultilevel"/>
    <w:tmpl w:val="B628B726"/>
    <w:lvl w:ilvl="0" w:tplc="A47CBDA6">
      <w:start w:val="1"/>
      <w:numFmt w:val="bullet"/>
      <w:pStyle w:val="Bullet1"/>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A3530"/>
    <w:multiLevelType w:val="hybridMultilevel"/>
    <w:tmpl w:val="CC52DA4C"/>
    <w:lvl w:ilvl="0" w:tplc="357637DE">
      <w:numFmt w:val="bullet"/>
      <w:pStyle w:val="ListParagraph2"/>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E4421"/>
    <w:multiLevelType w:val="hybridMultilevel"/>
    <w:tmpl w:val="C31EF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930692"/>
    <w:multiLevelType w:val="hybridMultilevel"/>
    <w:tmpl w:val="9E42F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466757"/>
    <w:multiLevelType w:val="hybridMultilevel"/>
    <w:tmpl w:val="7FDA509A"/>
    <w:lvl w:ilvl="0" w:tplc="A8763420">
      <w:start w:val="1"/>
      <w:numFmt w:val="bullet"/>
      <w:lvlText w:val="•"/>
      <w:lvlJc w:val="left"/>
      <w:pPr>
        <w:tabs>
          <w:tab w:val="num" w:pos="720"/>
        </w:tabs>
        <w:ind w:left="720" w:hanging="360"/>
      </w:pPr>
      <w:rPr>
        <w:rFonts w:ascii="Arial" w:hAnsi="Arial" w:hint="default"/>
      </w:rPr>
    </w:lvl>
    <w:lvl w:ilvl="1" w:tplc="4190A54A">
      <w:start w:val="1"/>
      <w:numFmt w:val="bullet"/>
      <w:lvlText w:val="•"/>
      <w:lvlJc w:val="left"/>
      <w:pPr>
        <w:tabs>
          <w:tab w:val="num" w:pos="1440"/>
        </w:tabs>
        <w:ind w:left="1440" w:hanging="360"/>
      </w:pPr>
      <w:rPr>
        <w:rFonts w:ascii="Arial" w:hAnsi="Arial" w:hint="default"/>
      </w:rPr>
    </w:lvl>
    <w:lvl w:ilvl="2" w:tplc="82B82DCE">
      <w:start w:val="2817"/>
      <w:numFmt w:val="bullet"/>
      <w:lvlText w:val="•"/>
      <w:lvlJc w:val="left"/>
      <w:pPr>
        <w:tabs>
          <w:tab w:val="num" w:pos="2160"/>
        </w:tabs>
        <w:ind w:left="2160" w:hanging="360"/>
      </w:pPr>
      <w:rPr>
        <w:rFonts w:ascii="Arial" w:hAnsi="Arial" w:hint="default"/>
      </w:rPr>
    </w:lvl>
    <w:lvl w:ilvl="3" w:tplc="AE84A530" w:tentative="1">
      <w:start w:val="1"/>
      <w:numFmt w:val="bullet"/>
      <w:lvlText w:val="•"/>
      <w:lvlJc w:val="left"/>
      <w:pPr>
        <w:tabs>
          <w:tab w:val="num" w:pos="2880"/>
        </w:tabs>
        <w:ind w:left="2880" w:hanging="360"/>
      </w:pPr>
      <w:rPr>
        <w:rFonts w:ascii="Arial" w:hAnsi="Arial" w:hint="default"/>
      </w:rPr>
    </w:lvl>
    <w:lvl w:ilvl="4" w:tplc="B7B4073C" w:tentative="1">
      <w:start w:val="1"/>
      <w:numFmt w:val="bullet"/>
      <w:lvlText w:val="•"/>
      <w:lvlJc w:val="left"/>
      <w:pPr>
        <w:tabs>
          <w:tab w:val="num" w:pos="3600"/>
        </w:tabs>
        <w:ind w:left="3600" w:hanging="360"/>
      </w:pPr>
      <w:rPr>
        <w:rFonts w:ascii="Arial" w:hAnsi="Arial" w:hint="default"/>
      </w:rPr>
    </w:lvl>
    <w:lvl w:ilvl="5" w:tplc="CC8497F2" w:tentative="1">
      <w:start w:val="1"/>
      <w:numFmt w:val="bullet"/>
      <w:lvlText w:val="•"/>
      <w:lvlJc w:val="left"/>
      <w:pPr>
        <w:tabs>
          <w:tab w:val="num" w:pos="4320"/>
        </w:tabs>
        <w:ind w:left="4320" w:hanging="360"/>
      </w:pPr>
      <w:rPr>
        <w:rFonts w:ascii="Arial" w:hAnsi="Arial" w:hint="default"/>
      </w:rPr>
    </w:lvl>
    <w:lvl w:ilvl="6" w:tplc="AB020A88" w:tentative="1">
      <w:start w:val="1"/>
      <w:numFmt w:val="bullet"/>
      <w:lvlText w:val="•"/>
      <w:lvlJc w:val="left"/>
      <w:pPr>
        <w:tabs>
          <w:tab w:val="num" w:pos="5040"/>
        </w:tabs>
        <w:ind w:left="5040" w:hanging="360"/>
      </w:pPr>
      <w:rPr>
        <w:rFonts w:ascii="Arial" w:hAnsi="Arial" w:hint="default"/>
      </w:rPr>
    </w:lvl>
    <w:lvl w:ilvl="7" w:tplc="7148427E" w:tentative="1">
      <w:start w:val="1"/>
      <w:numFmt w:val="bullet"/>
      <w:lvlText w:val="•"/>
      <w:lvlJc w:val="left"/>
      <w:pPr>
        <w:tabs>
          <w:tab w:val="num" w:pos="5760"/>
        </w:tabs>
        <w:ind w:left="5760" w:hanging="360"/>
      </w:pPr>
      <w:rPr>
        <w:rFonts w:ascii="Arial" w:hAnsi="Arial" w:hint="default"/>
      </w:rPr>
    </w:lvl>
    <w:lvl w:ilvl="8" w:tplc="4E129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246FFC"/>
    <w:multiLevelType w:val="hybridMultilevel"/>
    <w:tmpl w:val="E7648146"/>
    <w:lvl w:ilvl="0" w:tplc="BABEC308">
      <w:start w:val="1"/>
      <w:numFmt w:val="bullet"/>
      <w:lvlText w:val="•"/>
      <w:lvlJc w:val="left"/>
      <w:pPr>
        <w:tabs>
          <w:tab w:val="num" w:pos="360"/>
        </w:tabs>
        <w:ind w:left="360" w:hanging="360"/>
      </w:pPr>
      <w:rPr>
        <w:rFonts w:ascii="Arial" w:hAnsi="Arial" w:hint="default"/>
      </w:rPr>
    </w:lvl>
    <w:lvl w:ilvl="1" w:tplc="841ED772">
      <w:start w:val="2817"/>
      <w:numFmt w:val="bullet"/>
      <w:lvlText w:val="–"/>
      <w:lvlJc w:val="left"/>
      <w:pPr>
        <w:tabs>
          <w:tab w:val="num" w:pos="1080"/>
        </w:tabs>
        <w:ind w:left="1080" w:hanging="360"/>
      </w:pPr>
      <w:rPr>
        <w:rFonts w:ascii="Arial" w:hAnsi="Arial" w:hint="default"/>
      </w:rPr>
    </w:lvl>
    <w:lvl w:ilvl="2" w:tplc="F3BAD134">
      <w:start w:val="2817"/>
      <w:numFmt w:val="bullet"/>
      <w:lvlText w:val="•"/>
      <w:lvlJc w:val="left"/>
      <w:pPr>
        <w:tabs>
          <w:tab w:val="num" w:pos="1800"/>
        </w:tabs>
        <w:ind w:left="1800" w:hanging="360"/>
      </w:pPr>
      <w:rPr>
        <w:rFonts w:ascii="Arial" w:hAnsi="Arial" w:hint="default"/>
      </w:rPr>
    </w:lvl>
    <w:lvl w:ilvl="3" w:tplc="3138ACD8" w:tentative="1">
      <w:start w:val="1"/>
      <w:numFmt w:val="bullet"/>
      <w:lvlText w:val="•"/>
      <w:lvlJc w:val="left"/>
      <w:pPr>
        <w:tabs>
          <w:tab w:val="num" w:pos="2520"/>
        </w:tabs>
        <w:ind w:left="2520" w:hanging="360"/>
      </w:pPr>
      <w:rPr>
        <w:rFonts w:ascii="Arial" w:hAnsi="Arial" w:hint="default"/>
      </w:rPr>
    </w:lvl>
    <w:lvl w:ilvl="4" w:tplc="65E0A2DA" w:tentative="1">
      <w:start w:val="1"/>
      <w:numFmt w:val="bullet"/>
      <w:lvlText w:val="•"/>
      <w:lvlJc w:val="left"/>
      <w:pPr>
        <w:tabs>
          <w:tab w:val="num" w:pos="3240"/>
        </w:tabs>
        <w:ind w:left="3240" w:hanging="360"/>
      </w:pPr>
      <w:rPr>
        <w:rFonts w:ascii="Arial" w:hAnsi="Arial" w:hint="default"/>
      </w:rPr>
    </w:lvl>
    <w:lvl w:ilvl="5" w:tplc="2FA66874" w:tentative="1">
      <w:start w:val="1"/>
      <w:numFmt w:val="bullet"/>
      <w:lvlText w:val="•"/>
      <w:lvlJc w:val="left"/>
      <w:pPr>
        <w:tabs>
          <w:tab w:val="num" w:pos="3960"/>
        </w:tabs>
        <w:ind w:left="3960" w:hanging="360"/>
      </w:pPr>
      <w:rPr>
        <w:rFonts w:ascii="Arial" w:hAnsi="Arial" w:hint="default"/>
      </w:rPr>
    </w:lvl>
    <w:lvl w:ilvl="6" w:tplc="95A8D126" w:tentative="1">
      <w:start w:val="1"/>
      <w:numFmt w:val="bullet"/>
      <w:lvlText w:val="•"/>
      <w:lvlJc w:val="left"/>
      <w:pPr>
        <w:tabs>
          <w:tab w:val="num" w:pos="4680"/>
        </w:tabs>
        <w:ind w:left="4680" w:hanging="360"/>
      </w:pPr>
      <w:rPr>
        <w:rFonts w:ascii="Arial" w:hAnsi="Arial" w:hint="default"/>
      </w:rPr>
    </w:lvl>
    <w:lvl w:ilvl="7" w:tplc="5B2E6B70" w:tentative="1">
      <w:start w:val="1"/>
      <w:numFmt w:val="bullet"/>
      <w:lvlText w:val="•"/>
      <w:lvlJc w:val="left"/>
      <w:pPr>
        <w:tabs>
          <w:tab w:val="num" w:pos="5400"/>
        </w:tabs>
        <w:ind w:left="5400" w:hanging="360"/>
      </w:pPr>
      <w:rPr>
        <w:rFonts w:ascii="Arial" w:hAnsi="Arial" w:hint="default"/>
      </w:rPr>
    </w:lvl>
    <w:lvl w:ilvl="8" w:tplc="13E0F452"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4"/>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5"/>
    <w:rsid w:val="0000015D"/>
    <w:rsid w:val="00001E68"/>
    <w:rsid w:val="000116D8"/>
    <w:rsid w:val="000133EA"/>
    <w:rsid w:val="00015132"/>
    <w:rsid w:val="00016C55"/>
    <w:rsid w:val="00021AF7"/>
    <w:rsid w:val="00021E9C"/>
    <w:rsid w:val="00026B9C"/>
    <w:rsid w:val="00026D87"/>
    <w:rsid w:val="00027F49"/>
    <w:rsid w:val="00034569"/>
    <w:rsid w:val="0003598B"/>
    <w:rsid w:val="00040C2C"/>
    <w:rsid w:val="000425A7"/>
    <w:rsid w:val="00042A95"/>
    <w:rsid w:val="00045339"/>
    <w:rsid w:val="00046BC5"/>
    <w:rsid w:val="00047189"/>
    <w:rsid w:val="00050C03"/>
    <w:rsid w:val="0005251D"/>
    <w:rsid w:val="000553AA"/>
    <w:rsid w:val="00065544"/>
    <w:rsid w:val="00066023"/>
    <w:rsid w:val="00067F6C"/>
    <w:rsid w:val="0007152A"/>
    <w:rsid w:val="00072244"/>
    <w:rsid w:val="00073BE9"/>
    <w:rsid w:val="00075083"/>
    <w:rsid w:val="00075549"/>
    <w:rsid w:val="00076FEE"/>
    <w:rsid w:val="00077427"/>
    <w:rsid w:val="000775D3"/>
    <w:rsid w:val="00077737"/>
    <w:rsid w:val="000802F9"/>
    <w:rsid w:val="00080301"/>
    <w:rsid w:val="00080CC2"/>
    <w:rsid w:val="000821D2"/>
    <w:rsid w:val="00084FD7"/>
    <w:rsid w:val="00087F84"/>
    <w:rsid w:val="000A1A47"/>
    <w:rsid w:val="000A29C7"/>
    <w:rsid w:val="000A4719"/>
    <w:rsid w:val="000B196C"/>
    <w:rsid w:val="000B21BB"/>
    <w:rsid w:val="000B2DD8"/>
    <w:rsid w:val="000B2EF6"/>
    <w:rsid w:val="000B6088"/>
    <w:rsid w:val="000C0B1F"/>
    <w:rsid w:val="000C1320"/>
    <w:rsid w:val="000C32FB"/>
    <w:rsid w:val="000C70A4"/>
    <w:rsid w:val="000D0793"/>
    <w:rsid w:val="000D0E38"/>
    <w:rsid w:val="000D1AAC"/>
    <w:rsid w:val="000D2566"/>
    <w:rsid w:val="000D784E"/>
    <w:rsid w:val="000E04F4"/>
    <w:rsid w:val="000E4334"/>
    <w:rsid w:val="000E4F4D"/>
    <w:rsid w:val="000E679D"/>
    <w:rsid w:val="000F2F81"/>
    <w:rsid w:val="000F533D"/>
    <w:rsid w:val="000F6D91"/>
    <w:rsid w:val="000F7F36"/>
    <w:rsid w:val="0010003C"/>
    <w:rsid w:val="001003FE"/>
    <w:rsid w:val="00101BC4"/>
    <w:rsid w:val="00103B13"/>
    <w:rsid w:val="00104ED9"/>
    <w:rsid w:val="001104BC"/>
    <w:rsid w:val="00115467"/>
    <w:rsid w:val="00122531"/>
    <w:rsid w:val="00123EA9"/>
    <w:rsid w:val="00124499"/>
    <w:rsid w:val="0012609D"/>
    <w:rsid w:val="001310DA"/>
    <w:rsid w:val="001314FE"/>
    <w:rsid w:val="00131FFD"/>
    <w:rsid w:val="0013245E"/>
    <w:rsid w:val="001328D5"/>
    <w:rsid w:val="00132AFB"/>
    <w:rsid w:val="001331E1"/>
    <w:rsid w:val="00134736"/>
    <w:rsid w:val="00135A85"/>
    <w:rsid w:val="00135A91"/>
    <w:rsid w:val="001364A1"/>
    <w:rsid w:val="00137E88"/>
    <w:rsid w:val="00141DDD"/>
    <w:rsid w:val="001437A6"/>
    <w:rsid w:val="0014382D"/>
    <w:rsid w:val="0014470D"/>
    <w:rsid w:val="00146D1E"/>
    <w:rsid w:val="00147141"/>
    <w:rsid w:val="0015322B"/>
    <w:rsid w:val="00153BF9"/>
    <w:rsid w:val="00154585"/>
    <w:rsid w:val="00157656"/>
    <w:rsid w:val="00157FAD"/>
    <w:rsid w:val="00163093"/>
    <w:rsid w:val="0016318C"/>
    <w:rsid w:val="00164244"/>
    <w:rsid w:val="001671FF"/>
    <w:rsid w:val="00171B0C"/>
    <w:rsid w:val="001737B5"/>
    <w:rsid w:val="001751D0"/>
    <w:rsid w:val="00181912"/>
    <w:rsid w:val="0018224B"/>
    <w:rsid w:val="00182C2C"/>
    <w:rsid w:val="00182E77"/>
    <w:rsid w:val="0018670F"/>
    <w:rsid w:val="00186B3A"/>
    <w:rsid w:val="00187299"/>
    <w:rsid w:val="001911CF"/>
    <w:rsid w:val="001947FD"/>
    <w:rsid w:val="0019548C"/>
    <w:rsid w:val="001956E3"/>
    <w:rsid w:val="001A05FA"/>
    <w:rsid w:val="001A0E55"/>
    <w:rsid w:val="001A1547"/>
    <w:rsid w:val="001A184B"/>
    <w:rsid w:val="001A2461"/>
    <w:rsid w:val="001A624B"/>
    <w:rsid w:val="001A6C06"/>
    <w:rsid w:val="001A72B4"/>
    <w:rsid w:val="001B21D0"/>
    <w:rsid w:val="001B5167"/>
    <w:rsid w:val="001C34D9"/>
    <w:rsid w:val="001C3C31"/>
    <w:rsid w:val="001C6940"/>
    <w:rsid w:val="001D1373"/>
    <w:rsid w:val="001D16B8"/>
    <w:rsid w:val="001D1BA4"/>
    <w:rsid w:val="001D3085"/>
    <w:rsid w:val="001D4961"/>
    <w:rsid w:val="001D7520"/>
    <w:rsid w:val="001E35AF"/>
    <w:rsid w:val="001E77F1"/>
    <w:rsid w:val="001E791F"/>
    <w:rsid w:val="001F0939"/>
    <w:rsid w:val="001F1AB0"/>
    <w:rsid w:val="001F26C9"/>
    <w:rsid w:val="001F2DC1"/>
    <w:rsid w:val="001F2FD1"/>
    <w:rsid w:val="001F4CE0"/>
    <w:rsid w:val="001F5AE9"/>
    <w:rsid w:val="0020251B"/>
    <w:rsid w:val="002058BC"/>
    <w:rsid w:val="00205D47"/>
    <w:rsid w:val="002076EA"/>
    <w:rsid w:val="002107A5"/>
    <w:rsid w:val="00213A29"/>
    <w:rsid w:val="00214996"/>
    <w:rsid w:val="00216455"/>
    <w:rsid w:val="002172B3"/>
    <w:rsid w:val="00217868"/>
    <w:rsid w:val="00226C7E"/>
    <w:rsid w:val="00230B83"/>
    <w:rsid w:val="00235653"/>
    <w:rsid w:val="00236E2C"/>
    <w:rsid w:val="002444AD"/>
    <w:rsid w:val="00245842"/>
    <w:rsid w:val="00245F1B"/>
    <w:rsid w:val="0024617F"/>
    <w:rsid w:val="00251355"/>
    <w:rsid w:val="00251B91"/>
    <w:rsid w:val="00253BB0"/>
    <w:rsid w:val="002558F1"/>
    <w:rsid w:val="00257812"/>
    <w:rsid w:val="0026174B"/>
    <w:rsid w:val="00262A24"/>
    <w:rsid w:val="00270823"/>
    <w:rsid w:val="00271399"/>
    <w:rsid w:val="00271998"/>
    <w:rsid w:val="0027254A"/>
    <w:rsid w:val="00272710"/>
    <w:rsid w:val="00275D85"/>
    <w:rsid w:val="00276C01"/>
    <w:rsid w:val="002826C0"/>
    <w:rsid w:val="0028272A"/>
    <w:rsid w:val="00284D71"/>
    <w:rsid w:val="00287A22"/>
    <w:rsid w:val="00293E30"/>
    <w:rsid w:val="0029553E"/>
    <w:rsid w:val="00296CFA"/>
    <w:rsid w:val="002A30B4"/>
    <w:rsid w:val="002A31B6"/>
    <w:rsid w:val="002A4107"/>
    <w:rsid w:val="002B134A"/>
    <w:rsid w:val="002B606B"/>
    <w:rsid w:val="002B7F50"/>
    <w:rsid w:val="002C177D"/>
    <w:rsid w:val="002C1C45"/>
    <w:rsid w:val="002C2C30"/>
    <w:rsid w:val="002C64D6"/>
    <w:rsid w:val="002C6921"/>
    <w:rsid w:val="002D37A5"/>
    <w:rsid w:val="002D579D"/>
    <w:rsid w:val="002D7D79"/>
    <w:rsid w:val="002E075F"/>
    <w:rsid w:val="002E1D49"/>
    <w:rsid w:val="002E2E44"/>
    <w:rsid w:val="002E482F"/>
    <w:rsid w:val="002E5786"/>
    <w:rsid w:val="002E5D20"/>
    <w:rsid w:val="002E6B57"/>
    <w:rsid w:val="002F2FB0"/>
    <w:rsid w:val="002F73BF"/>
    <w:rsid w:val="00300552"/>
    <w:rsid w:val="00304EAF"/>
    <w:rsid w:val="00305BE8"/>
    <w:rsid w:val="00305D25"/>
    <w:rsid w:val="003071FB"/>
    <w:rsid w:val="0030755A"/>
    <w:rsid w:val="003078AE"/>
    <w:rsid w:val="003111FE"/>
    <w:rsid w:val="003129EF"/>
    <w:rsid w:val="00313F70"/>
    <w:rsid w:val="00314F5A"/>
    <w:rsid w:val="0031714C"/>
    <w:rsid w:val="0032451C"/>
    <w:rsid w:val="00324E16"/>
    <w:rsid w:val="003273DD"/>
    <w:rsid w:val="00331AD8"/>
    <w:rsid w:val="00335D29"/>
    <w:rsid w:val="003361DE"/>
    <w:rsid w:val="003437DD"/>
    <w:rsid w:val="00344F4E"/>
    <w:rsid w:val="00345B15"/>
    <w:rsid w:val="003502AE"/>
    <w:rsid w:val="00352958"/>
    <w:rsid w:val="00355346"/>
    <w:rsid w:val="00355B90"/>
    <w:rsid w:val="00355EC0"/>
    <w:rsid w:val="0035653D"/>
    <w:rsid w:val="00356F76"/>
    <w:rsid w:val="00362320"/>
    <w:rsid w:val="00364014"/>
    <w:rsid w:val="00364CC0"/>
    <w:rsid w:val="003656FF"/>
    <w:rsid w:val="00365C0A"/>
    <w:rsid w:val="00365DD0"/>
    <w:rsid w:val="00367E8B"/>
    <w:rsid w:val="00372565"/>
    <w:rsid w:val="0037365E"/>
    <w:rsid w:val="003779EA"/>
    <w:rsid w:val="00380340"/>
    <w:rsid w:val="003803F1"/>
    <w:rsid w:val="00382DB2"/>
    <w:rsid w:val="003851A8"/>
    <w:rsid w:val="00385A24"/>
    <w:rsid w:val="003862ED"/>
    <w:rsid w:val="003900C8"/>
    <w:rsid w:val="00395C61"/>
    <w:rsid w:val="003A3C58"/>
    <w:rsid w:val="003A4EC5"/>
    <w:rsid w:val="003B17A0"/>
    <w:rsid w:val="003B326A"/>
    <w:rsid w:val="003B441E"/>
    <w:rsid w:val="003B5609"/>
    <w:rsid w:val="003C57D9"/>
    <w:rsid w:val="003D0C8A"/>
    <w:rsid w:val="003D2BE0"/>
    <w:rsid w:val="003D2D08"/>
    <w:rsid w:val="003D4026"/>
    <w:rsid w:val="003D4511"/>
    <w:rsid w:val="003D4F7A"/>
    <w:rsid w:val="003E3670"/>
    <w:rsid w:val="003E6E84"/>
    <w:rsid w:val="003F2D66"/>
    <w:rsid w:val="0040264C"/>
    <w:rsid w:val="0040296B"/>
    <w:rsid w:val="00402E28"/>
    <w:rsid w:val="00404B2A"/>
    <w:rsid w:val="00410BFD"/>
    <w:rsid w:val="00410C33"/>
    <w:rsid w:val="00411112"/>
    <w:rsid w:val="00412402"/>
    <w:rsid w:val="004142E2"/>
    <w:rsid w:val="00423539"/>
    <w:rsid w:val="00426E2C"/>
    <w:rsid w:val="004303EA"/>
    <w:rsid w:val="00440DC4"/>
    <w:rsid w:val="004451CB"/>
    <w:rsid w:val="00445448"/>
    <w:rsid w:val="00445DB0"/>
    <w:rsid w:val="004477BF"/>
    <w:rsid w:val="0045121D"/>
    <w:rsid w:val="00451531"/>
    <w:rsid w:val="0045288A"/>
    <w:rsid w:val="004549FD"/>
    <w:rsid w:val="00455E64"/>
    <w:rsid w:val="004565B8"/>
    <w:rsid w:val="00470543"/>
    <w:rsid w:val="00476178"/>
    <w:rsid w:val="00480965"/>
    <w:rsid w:val="00481035"/>
    <w:rsid w:val="0048305A"/>
    <w:rsid w:val="00492862"/>
    <w:rsid w:val="00493C55"/>
    <w:rsid w:val="00495350"/>
    <w:rsid w:val="004A1EF7"/>
    <w:rsid w:val="004A4D75"/>
    <w:rsid w:val="004A4E61"/>
    <w:rsid w:val="004A5644"/>
    <w:rsid w:val="004A6335"/>
    <w:rsid w:val="004A6389"/>
    <w:rsid w:val="004A67E9"/>
    <w:rsid w:val="004A7D6F"/>
    <w:rsid w:val="004B00F0"/>
    <w:rsid w:val="004C0CF2"/>
    <w:rsid w:val="004C0E45"/>
    <w:rsid w:val="004C120C"/>
    <w:rsid w:val="004C14A6"/>
    <w:rsid w:val="004C1AB8"/>
    <w:rsid w:val="004C246D"/>
    <w:rsid w:val="004C3601"/>
    <w:rsid w:val="004C46AB"/>
    <w:rsid w:val="004C552B"/>
    <w:rsid w:val="004C5EF3"/>
    <w:rsid w:val="004C76C7"/>
    <w:rsid w:val="004D0827"/>
    <w:rsid w:val="004D43D0"/>
    <w:rsid w:val="004D79DA"/>
    <w:rsid w:val="004D79FF"/>
    <w:rsid w:val="004E34D5"/>
    <w:rsid w:val="004E5291"/>
    <w:rsid w:val="004F200B"/>
    <w:rsid w:val="004F2516"/>
    <w:rsid w:val="004F4F7C"/>
    <w:rsid w:val="004F5159"/>
    <w:rsid w:val="004F5331"/>
    <w:rsid w:val="004F5414"/>
    <w:rsid w:val="004F59A6"/>
    <w:rsid w:val="0050019C"/>
    <w:rsid w:val="00501DE7"/>
    <w:rsid w:val="00503A24"/>
    <w:rsid w:val="00504F92"/>
    <w:rsid w:val="00506F0E"/>
    <w:rsid w:val="0051050A"/>
    <w:rsid w:val="00511633"/>
    <w:rsid w:val="005116CB"/>
    <w:rsid w:val="005125BD"/>
    <w:rsid w:val="00515539"/>
    <w:rsid w:val="00520ED9"/>
    <w:rsid w:val="00521AA8"/>
    <w:rsid w:val="00521B72"/>
    <w:rsid w:val="00523277"/>
    <w:rsid w:val="00526EF3"/>
    <w:rsid w:val="0053308A"/>
    <w:rsid w:val="00534D27"/>
    <w:rsid w:val="00535584"/>
    <w:rsid w:val="00537F14"/>
    <w:rsid w:val="00544C10"/>
    <w:rsid w:val="005456EB"/>
    <w:rsid w:val="00546E98"/>
    <w:rsid w:val="00547601"/>
    <w:rsid w:val="0055035D"/>
    <w:rsid w:val="00552ADF"/>
    <w:rsid w:val="0055349A"/>
    <w:rsid w:val="0055561A"/>
    <w:rsid w:val="00557C49"/>
    <w:rsid w:val="005631AA"/>
    <w:rsid w:val="00565CB2"/>
    <w:rsid w:val="00566033"/>
    <w:rsid w:val="005717DA"/>
    <w:rsid w:val="005724F4"/>
    <w:rsid w:val="005741A2"/>
    <w:rsid w:val="00581455"/>
    <w:rsid w:val="00585FF1"/>
    <w:rsid w:val="005878D4"/>
    <w:rsid w:val="0059059C"/>
    <w:rsid w:val="00590A07"/>
    <w:rsid w:val="00591C8E"/>
    <w:rsid w:val="00593891"/>
    <w:rsid w:val="005A2B24"/>
    <w:rsid w:val="005A2BC5"/>
    <w:rsid w:val="005A2E35"/>
    <w:rsid w:val="005A42EB"/>
    <w:rsid w:val="005A51FF"/>
    <w:rsid w:val="005A5FB4"/>
    <w:rsid w:val="005B07D0"/>
    <w:rsid w:val="005B403E"/>
    <w:rsid w:val="005B5301"/>
    <w:rsid w:val="005B61FD"/>
    <w:rsid w:val="005C0344"/>
    <w:rsid w:val="005C14AE"/>
    <w:rsid w:val="005C2FEC"/>
    <w:rsid w:val="005C4F59"/>
    <w:rsid w:val="005C5E55"/>
    <w:rsid w:val="005C651B"/>
    <w:rsid w:val="005D2148"/>
    <w:rsid w:val="005D40C1"/>
    <w:rsid w:val="005D4358"/>
    <w:rsid w:val="005D584C"/>
    <w:rsid w:val="005D7623"/>
    <w:rsid w:val="005E1622"/>
    <w:rsid w:val="005E3CC4"/>
    <w:rsid w:val="005E4248"/>
    <w:rsid w:val="005E7F11"/>
    <w:rsid w:val="005F2A60"/>
    <w:rsid w:val="0060553A"/>
    <w:rsid w:val="00605BB0"/>
    <w:rsid w:val="00607557"/>
    <w:rsid w:val="00610189"/>
    <w:rsid w:val="00613A88"/>
    <w:rsid w:val="00617048"/>
    <w:rsid w:val="0061764C"/>
    <w:rsid w:val="00620E1B"/>
    <w:rsid w:val="00622413"/>
    <w:rsid w:val="00624F88"/>
    <w:rsid w:val="00625EB3"/>
    <w:rsid w:val="006265F2"/>
    <w:rsid w:val="00627A88"/>
    <w:rsid w:val="00627BED"/>
    <w:rsid w:val="00633CF0"/>
    <w:rsid w:val="00637D30"/>
    <w:rsid w:val="00641DDB"/>
    <w:rsid w:val="00643DC0"/>
    <w:rsid w:val="00646BF2"/>
    <w:rsid w:val="00650324"/>
    <w:rsid w:val="00650641"/>
    <w:rsid w:val="00652BF6"/>
    <w:rsid w:val="00655F77"/>
    <w:rsid w:val="00657C0B"/>
    <w:rsid w:val="00662F2D"/>
    <w:rsid w:val="00664AC2"/>
    <w:rsid w:val="00665720"/>
    <w:rsid w:val="006667FC"/>
    <w:rsid w:val="00667AF9"/>
    <w:rsid w:val="006702D1"/>
    <w:rsid w:val="006703CF"/>
    <w:rsid w:val="00675214"/>
    <w:rsid w:val="006769F2"/>
    <w:rsid w:val="00677A10"/>
    <w:rsid w:val="00683BEC"/>
    <w:rsid w:val="00684FEC"/>
    <w:rsid w:val="00685E94"/>
    <w:rsid w:val="00686F1A"/>
    <w:rsid w:val="00694283"/>
    <w:rsid w:val="00695AAA"/>
    <w:rsid w:val="00697258"/>
    <w:rsid w:val="006979D3"/>
    <w:rsid w:val="006A05DB"/>
    <w:rsid w:val="006A2E60"/>
    <w:rsid w:val="006A2ECC"/>
    <w:rsid w:val="006A2F16"/>
    <w:rsid w:val="006A36E6"/>
    <w:rsid w:val="006A3CC6"/>
    <w:rsid w:val="006B0C74"/>
    <w:rsid w:val="006B152E"/>
    <w:rsid w:val="006B1F9E"/>
    <w:rsid w:val="006B1FF5"/>
    <w:rsid w:val="006B2824"/>
    <w:rsid w:val="006B7E0B"/>
    <w:rsid w:val="006C2233"/>
    <w:rsid w:val="006C2C80"/>
    <w:rsid w:val="006C49F2"/>
    <w:rsid w:val="006C59F6"/>
    <w:rsid w:val="006D1CAB"/>
    <w:rsid w:val="006D1EFC"/>
    <w:rsid w:val="006D2E4C"/>
    <w:rsid w:val="006D4F82"/>
    <w:rsid w:val="006D61C6"/>
    <w:rsid w:val="006D648E"/>
    <w:rsid w:val="006D6EA2"/>
    <w:rsid w:val="006E0949"/>
    <w:rsid w:val="006E0EB0"/>
    <w:rsid w:val="006E10CA"/>
    <w:rsid w:val="006E2CF9"/>
    <w:rsid w:val="006E621A"/>
    <w:rsid w:val="006F0CB2"/>
    <w:rsid w:val="006F1DD4"/>
    <w:rsid w:val="006F7856"/>
    <w:rsid w:val="00700CAE"/>
    <w:rsid w:val="007011AA"/>
    <w:rsid w:val="00701490"/>
    <w:rsid w:val="007049E3"/>
    <w:rsid w:val="007062DD"/>
    <w:rsid w:val="00707313"/>
    <w:rsid w:val="00707E69"/>
    <w:rsid w:val="00711C8B"/>
    <w:rsid w:val="007158F0"/>
    <w:rsid w:val="00720B03"/>
    <w:rsid w:val="00726250"/>
    <w:rsid w:val="00727ABB"/>
    <w:rsid w:val="0073119B"/>
    <w:rsid w:val="00731639"/>
    <w:rsid w:val="00731FE9"/>
    <w:rsid w:val="00734099"/>
    <w:rsid w:val="0073443C"/>
    <w:rsid w:val="00735CD4"/>
    <w:rsid w:val="00741F48"/>
    <w:rsid w:val="00743DC2"/>
    <w:rsid w:val="007447C5"/>
    <w:rsid w:val="007457AD"/>
    <w:rsid w:val="007459B2"/>
    <w:rsid w:val="0074732A"/>
    <w:rsid w:val="00754C8B"/>
    <w:rsid w:val="00755A8F"/>
    <w:rsid w:val="007600BB"/>
    <w:rsid w:val="00763801"/>
    <w:rsid w:val="007661EB"/>
    <w:rsid w:val="007749DF"/>
    <w:rsid w:val="007762E9"/>
    <w:rsid w:val="00777673"/>
    <w:rsid w:val="00780117"/>
    <w:rsid w:val="00781782"/>
    <w:rsid w:val="00785864"/>
    <w:rsid w:val="0078644F"/>
    <w:rsid w:val="00786818"/>
    <w:rsid w:val="0079309E"/>
    <w:rsid w:val="007958B4"/>
    <w:rsid w:val="00795B5D"/>
    <w:rsid w:val="00795DA2"/>
    <w:rsid w:val="00796DC3"/>
    <w:rsid w:val="007A1A16"/>
    <w:rsid w:val="007A29D9"/>
    <w:rsid w:val="007B1228"/>
    <w:rsid w:val="007B1AF7"/>
    <w:rsid w:val="007B31A4"/>
    <w:rsid w:val="007B4594"/>
    <w:rsid w:val="007B5F4D"/>
    <w:rsid w:val="007B629D"/>
    <w:rsid w:val="007B7B1D"/>
    <w:rsid w:val="007B7CD4"/>
    <w:rsid w:val="007C31D1"/>
    <w:rsid w:val="007C369D"/>
    <w:rsid w:val="007D068C"/>
    <w:rsid w:val="007D3573"/>
    <w:rsid w:val="007D41F0"/>
    <w:rsid w:val="007D4318"/>
    <w:rsid w:val="007D4395"/>
    <w:rsid w:val="007D528C"/>
    <w:rsid w:val="007D77FB"/>
    <w:rsid w:val="007E09C7"/>
    <w:rsid w:val="007E1DF4"/>
    <w:rsid w:val="007E3507"/>
    <w:rsid w:val="007E3BD2"/>
    <w:rsid w:val="007E4E6F"/>
    <w:rsid w:val="007E74A0"/>
    <w:rsid w:val="007F0104"/>
    <w:rsid w:val="007F25F1"/>
    <w:rsid w:val="008028B8"/>
    <w:rsid w:val="00805EF9"/>
    <w:rsid w:val="00807D96"/>
    <w:rsid w:val="00813043"/>
    <w:rsid w:val="008142E8"/>
    <w:rsid w:val="008200FB"/>
    <w:rsid w:val="008208CA"/>
    <w:rsid w:val="008223A2"/>
    <w:rsid w:val="00823478"/>
    <w:rsid w:val="00824D59"/>
    <w:rsid w:val="00825BAB"/>
    <w:rsid w:val="00830012"/>
    <w:rsid w:val="0083170A"/>
    <w:rsid w:val="00834299"/>
    <w:rsid w:val="008358CF"/>
    <w:rsid w:val="00847789"/>
    <w:rsid w:val="00852AF6"/>
    <w:rsid w:val="008534BA"/>
    <w:rsid w:val="0085542F"/>
    <w:rsid w:val="00856B1F"/>
    <w:rsid w:val="008637DF"/>
    <w:rsid w:val="0086438E"/>
    <w:rsid w:val="00865C2B"/>
    <w:rsid w:val="0087555B"/>
    <w:rsid w:val="00876162"/>
    <w:rsid w:val="0089147A"/>
    <w:rsid w:val="00892EAB"/>
    <w:rsid w:val="00893329"/>
    <w:rsid w:val="00895A38"/>
    <w:rsid w:val="008A0589"/>
    <w:rsid w:val="008A18AD"/>
    <w:rsid w:val="008A6DFA"/>
    <w:rsid w:val="008A7C01"/>
    <w:rsid w:val="008B0CDD"/>
    <w:rsid w:val="008B13A1"/>
    <w:rsid w:val="008B520C"/>
    <w:rsid w:val="008B68E4"/>
    <w:rsid w:val="008B7C29"/>
    <w:rsid w:val="008C063F"/>
    <w:rsid w:val="008C0EE8"/>
    <w:rsid w:val="008C71FE"/>
    <w:rsid w:val="008D0905"/>
    <w:rsid w:val="008D0DB0"/>
    <w:rsid w:val="008D0F9B"/>
    <w:rsid w:val="008D20A7"/>
    <w:rsid w:val="008D2193"/>
    <w:rsid w:val="008D4212"/>
    <w:rsid w:val="008D5B16"/>
    <w:rsid w:val="008D76D4"/>
    <w:rsid w:val="008D76ED"/>
    <w:rsid w:val="008D774D"/>
    <w:rsid w:val="008E2A82"/>
    <w:rsid w:val="008E2DC4"/>
    <w:rsid w:val="008E48CB"/>
    <w:rsid w:val="008E4B8F"/>
    <w:rsid w:val="008F0930"/>
    <w:rsid w:val="008F127B"/>
    <w:rsid w:val="008F18A5"/>
    <w:rsid w:val="008F53F2"/>
    <w:rsid w:val="008F5590"/>
    <w:rsid w:val="009008B9"/>
    <w:rsid w:val="009026AC"/>
    <w:rsid w:val="0090413A"/>
    <w:rsid w:val="009043F9"/>
    <w:rsid w:val="00904AFA"/>
    <w:rsid w:val="00922516"/>
    <w:rsid w:val="00923E7C"/>
    <w:rsid w:val="009254B1"/>
    <w:rsid w:val="00927EA7"/>
    <w:rsid w:val="00932EAF"/>
    <w:rsid w:val="00936A17"/>
    <w:rsid w:val="009468D4"/>
    <w:rsid w:val="0094695A"/>
    <w:rsid w:val="00954A59"/>
    <w:rsid w:val="009624C1"/>
    <w:rsid w:val="009643EA"/>
    <w:rsid w:val="00966BBA"/>
    <w:rsid w:val="00967D0E"/>
    <w:rsid w:val="00976111"/>
    <w:rsid w:val="00980938"/>
    <w:rsid w:val="00981358"/>
    <w:rsid w:val="00981A4D"/>
    <w:rsid w:val="00982EFD"/>
    <w:rsid w:val="0098514C"/>
    <w:rsid w:val="00986CC5"/>
    <w:rsid w:val="0099321F"/>
    <w:rsid w:val="00993AB2"/>
    <w:rsid w:val="009A1F30"/>
    <w:rsid w:val="009A3E5A"/>
    <w:rsid w:val="009A41B9"/>
    <w:rsid w:val="009A6B07"/>
    <w:rsid w:val="009B443D"/>
    <w:rsid w:val="009B46F5"/>
    <w:rsid w:val="009B4A5F"/>
    <w:rsid w:val="009C2158"/>
    <w:rsid w:val="009C6807"/>
    <w:rsid w:val="009D2483"/>
    <w:rsid w:val="009D5A39"/>
    <w:rsid w:val="009D7A8B"/>
    <w:rsid w:val="009E21AC"/>
    <w:rsid w:val="009E2277"/>
    <w:rsid w:val="009E2AE7"/>
    <w:rsid w:val="009E548F"/>
    <w:rsid w:val="009F00B1"/>
    <w:rsid w:val="009F026F"/>
    <w:rsid w:val="009F03C5"/>
    <w:rsid w:val="009F7824"/>
    <w:rsid w:val="00A015C9"/>
    <w:rsid w:val="00A016BC"/>
    <w:rsid w:val="00A040BB"/>
    <w:rsid w:val="00A055B5"/>
    <w:rsid w:val="00A06009"/>
    <w:rsid w:val="00A06B6F"/>
    <w:rsid w:val="00A070AC"/>
    <w:rsid w:val="00A11C5B"/>
    <w:rsid w:val="00A177B0"/>
    <w:rsid w:val="00A23463"/>
    <w:rsid w:val="00A24AF3"/>
    <w:rsid w:val="00A26180"/>
    <w:rsid w:val="00A35E19"/>
    <w:rsid w:val="00A363F2"/>
    <w:rsid w:val="00A42274"/>
    <w:rsid w:val="00A47A66"/>
    <w:rsid w:val="00A52CD6"/>
    <w:rsid w:val="00A52D38"/>
    <w:rsid w:val="00A541B9"/>
    <w:rsid w:val="00A543AF"/>
    <w:rsid w:val="00A55973"/>
    <w:rsid w:val="00A55AA1"/>
    <w:rsid w:val="00A56B7A"/>
    <w:rsid w:val="00A6237A"/>
    <w:rsid w:val="00A6370C"/>
    <w:rsid w:val="00A64965"/>
    <w:rsid w:val="00A64E55"/>
    <w:rsid w:val="00A64EBA"/>
    <w:rsid w:val="00A73804"/>
    <w:rsid w:val="00A73C01"/>
    <w:rsid w:val="00A76C5B"/>
    <w:rsid w:val="00A77D1E"/>
    <w:rsid w:val="00A803C9"/>
    <w:rsid w:val="00A834AB"/>
    <w:rsid w:val="00A83C9B"/>
    <w:rsid w:val="00A84C26"/>
    <w:rsid w:val="00A86076"/>
    <w:rsid w:val="00A86E99"/>
    <w:rsid w:val="00A90840"/>
    <w:rsid w:val="00AA0696"/>
    <w:rsid w:val="00AA122B"/>
    <w:rsid w:val="00AA2DC4"/>
    <w:rsid w:val="00AA468B"/>
    <w:rsid w:val="00AA4A47"/>
    <w:rsid w:val="00AA65A9"/>
    <w:rsid w:val="00AB1868"/>
    <w:rsid w:val="00AB29AA"/>
    <w:rsid w:val="00AB2D2F"/>
    <w:rsid w:val="00AB4529"/>
    <w:rsid w:val="00AB5C99"/>
    <w:rsid w:val="00AB62CC"/>
    <w:rsid w:val="00AC11CA"/>
    <w:rsid w:val="00AC373C"/>
    <w:rsid w:val="00AC3BEC"/>
    <w:rsid w:val="00AC46FD"/>
    <w:rsid w:val="00AC51CF"/>
    <w:rsid w:val="00AD03FC"/>
    <w:rsid w:val="00AD08F0"/>
    <w:rsid w:val="00AD091A"/>
    <w:rsid w:val="00AD0F0A"/>
    <w:rsid w:val="00AD2631"/>
    <w:rsid w:val="00AD3A96"/>
    <w:rsid w:val="00AD79AA"/>
    <w:rsid w:val="00AE2693"/>
    <w:rsid w:val="00AE5291"/>
    <w:rsid w:val="00AF23D6"/>
    <w:rsid w:val="00AF2F8A"/>
    <w:rsid w:val="00B0173A"/>
    <w:rsid w:val="00B01A98"/>
    <w:rsid w:val="00B023E6"/>
    <w:rsid w:val="00B065FB"/>
    <w:rsid w:val="00B10C5E"/>
    <w:rsid w:val="00B11195"/>
    <w:rsid w:val="00B1158E"/>
    <w:rsid w:val="00B150B4"/>
    <w:rsid w:val="00B17D55"/>
    <w:rsid w:val="00B20FFD"/>
    <w:rsid w:val="00B21E66"/>
    <w:rsid w:val="00B21FA6"/>
    <w:rsid w:val="00B2440A"/>
    <w:rsid w:val="00B252EF"/>
    <w:rsid w:val="00B351BC"/>
    <w:rsid w:val="00B35A58"/>
    <w:rsid w:val="00B35B3F"/>
    <w:rsid w:val="00B35B5C"/>
    <w:rsid w:val="00B361CC"/>
    <w:rsid w:val="00B4180E"/>
    <w:rsid w:val="00B420C9"/>
    <w:rsid w:val="00B42962"/>
    <w:rsid w:val="00B441BF"/>
    <w:rsid w:val="00B442B9"/>
    <w:rsid w:val="00B45CAC"/>
    <w:rsid w:val="00B50DDA"/>
    <w:rsid w:val="00B51E86"/>
    <w:rsid w:val="00B52818"/>
    <w:rsid w:val="00B53335"/>
    <w:rsid w:val="00B5429E"/>
    <w:rsid w:val="00B55739"/>
    <w:rsid w:val="00B56E39"/>
    <w:rsid w:val="00B57A3E"/>
    <w:rsid w:val="00B619E0"/>
    <w:rsid w:val="00B6274C"/>
    <w:rsid w:val="00B63823"/>
    <w:rsid w:val="00B650A6"/>
    <w:rsid w:val="00B66620"/>
    <w:rsid w:val="00B67129"/>
    <w:rsid w:val="00B700D5"/>
    <w:rsid w:val="00B71558"/>
    <w:rsid w:val="00B74285"/>
    <w:rsid w:val="00B74E13"/>
    <w:rsid w:val="00B76F50"/>
    <w:rsid w:val="00B81916"/>
    <w:rsid w:val="00B82024"/>
    <w:rsid w:val="00B82671"/>
    <w:rsid w:val="00B8474F"/>
    <w:rsid w:val="00B90B67"/>
    <w:rsid w:val="00B92A6E"/>
    <w:rsid w:val="00B92AC0"/>
    <w:rsid w:val="00B93E07"/>
    <w:rsid w:val="00B95069"/>
    <w:rsid w:val="00B96B35"/>
    <w:rsid w:val="00BA01B9"/>
    <w:rsid w:val="00BA2880"/>
    <w:rsid w:val="00BA5404"/>
    <w:rsid w:val="00BA6CC0"/>
    <w:rsid w:val="00BB234E"/>
    <w:rsid w:val="00BB58D7"/>
    <w:rsid w:val="00BC3A1F"/>
    <w:rsid w:val="00BD736D"/>
    <w:rsid w:val="00BE2F9C"/>
    <w:rsid w:val="00BE3394"/>
    <w:rsid w:val="00BE4D0F"/>
    <w:rsid w:val="00BE4E7B"/>
    <w:rsid w:val="00BE675A"/>
    <w:rsid w:val="00BE7A88"/>
    <w:rsid w:val="00BE7C5D"/>
    <w:rsid w:val="00BF0DCF"/>
    <w:rsid w:val="00BF4A9F"/>
    <w:rsid w:val="00BF6CA9"/>
    <w:rsid w:val="00BF7A81"/>
    <w:rsid w:val="00C03905"/>
    <w:rsid w:val="00C048AE"/>
    <w:rsid w:val="00C07468"/>
    <w:rsid w:val="00C10B41"/>
    <w:rsid w:val="00C14F30"/>
    <w:rsid w:val="00C15386"/>
    <w:rsid w:val="00C22544"/>
    <w:rsid w:val="00C22C1A"/>
    <w:rsid w:val="00C237A6"/>
    <w:rsid w:val="00C23F71"/>
    <w:rsid w:val="00C30B08"/>
    <w:rsid w:val="00C40669"/>
    <w:rsid w:val="00C413A6"/>
    <w:rsid w:val="00C42B2E"/>
    <w:rsid w:val="00C47259"/>
    <w:rsid w:val="00C5061A"/>
    <w:rsid w:val="00C545B4"/>
    <w:rsid w:val="00C57034"/>
    <w:rsid w:val="00C6609C"/>
    <w:rsid w:val="00C70CFB"/>
    <w:rsid w:val="00C75216"/>
    <w:rsid w:val="00C77832"/>
    <w:rsid w:val="00C77FE1"/>
    <w:rsid w:val="00C80524"/>
    <w:rsid w:val="00C81EB2"/>
    <w:rsid w:val="00C835A9"/>
    <w:rsid w:val="00C84205"/>
    <w:rsid w:val="00C90752"/>
    <w:rsid w:val="00C9142F"/>
    <w:rsid w:val="00C95B3B"/>
    <w:rsid w:val="00CA6A82"/>
    <w:rsid w:val="00CB1146"/>
    <w:rsid w:val="00CB1706"/>
    <w:rsid w:val="00CC0FE1"/>
    <w:rsid w:val="00CC2810"/>
    <w:rsid w:val="00CC47A7"/>
    <w:rsid w:val="00CC75F6"/>
    <w:rsid w:val="00CD3BE7"/>
    <w:rsid w:val="00CD49E7"/>
    <w:rsid w:val="00CD4C49"/>
    <w:rsid w:val="00CD512D"/>
    <w:rsid w:val="00CD5A95"/>
    <w:rsid w:val="00CE0283"/>
    <w:rsid w:val="00CE3410"/>
    <w:rsid w:val="00CE3AD6"/>
    <w:rsid w:val="00CE43D2"/>
    <w:rsid w:val="00CE5855"/>
    <w:rsid w:val="00CE6F6E"/>
    <w:rsid w:val="00CE7DF3"/>
    <w:rsid w:val="00CF0D87"/>
    <w:rsid w:val="00D01E05"/>
    <w:rsid w:val="00D039B1"/>
    <w:rsid w:val="00D06292"/>
    <w:rsid w:val="00D14895"/>
    <w:rsid w:val="00D21EC2"/>
    <w:rsid w:val="00D22029"/>
    <w:rsid w:val="00D228CE"/>
    <w:rsid w:val="00D237FE"/>
    <w:rsid w:val="00D24431"/>
    <w:rsid w:val="00D2461D"/>
    <w:rsid w:val="00D24835"/>
    <w:rsid w:val="00D258E2"/>
    <w:rsid w:val="00D30C56"/>
    <w:rsid w:val="00D3138C"/>
    <w:rsid w:val="00D36435"/>
    <w:rsid w:val="00D36D00"/>
    <w:rsid w:val="00D40FD1"/>
    <w:rsid w:val="00D41591"/>
    <w:rsid w:val="00D41EA3"/>
    <w:rsid w:val="00D448B5"/>
    <w:rsid w:val="00D44CB1"/>
    <w:rsid w:val="00D505CA"/>
    <w:rsid w:val="00D5297E"/>
    <w:rsid w:val="00D52C2E"/>
    <w:rsid w:val="00D53BC9"/>
    <w:rsid w:val="00D5551B"/>
    <w:rsid w:val="00D60642"/>
    <w:rsid w:val="00D620B9"/>
    <w:rsid w:val="00D63660"/>
    <w:rsid w:val="00D64E0F"/>
    <w:rsid w:val="00D65C0A"/>
    <w:rsid w:val="00D70C2B"/>
    <w:rsid w:val="00D76D9B"/>
    <w:rsid w:val="00D84E7A"/>
    <w:rsid w:val="00D8578B"/>
    <w:rsid w:val="00D861D3"/>
    <w:rsid w:val="00D86729"/>
    <w:rsid w:val="00D86B63"/>
    <w:rsid w:val="00D87FE7"/>
    <w:rsid w:val="00D91F6C"/>
    <w:rsid w:val="00D933DD"/>
    <w:rsid w:val="00D96224"/>
    <w:rsid w:val="00D979C5"/>
    <w:rsid w:val="00DA223A"/>
    <w:rsid w:val="00DA2D18"/>
    <w:rsid w:val="00DA4CB2"/>
    <w:rsid w:val="00DA6766"/>
    <w:rsid w:val="00DB1A62"/>
    <w:rsid w:val="00DB5DDD"/>
    <w:rsid w:val="00DB65B7"/>
    <w:rsid w:val="00DB7354"/>
    <w:rsid w:val="00DB7806"/>
    <w:rsid w:val="00DC05B5"/>
    <w:rsid w:val="00DC1DAA"/>
    <w:rsid w:val="00DC2FAB"/>
    <w:rsid w:val="00DD160C"/>
    <w:rsid w:val="00DD1978"/>
    <w:rsid w:val="00DD2EAD"/>
    <w:rsid w:val="00DD510F"/>
    <w:rsid w:val="00DD7695"/>
    <w:rsid w:val="00DE537D"/>
    <w:rsid w:val="00DE7903"/>
    <w:rsid w:val="00DF0E0B"/>
    <w:rsid w:val="00DF3740"/>
    <w:rsid w:val="00DF4159"/>
    <w:rsid w:val="00E01CBB"/>
    <w:rsid w:val="00E02D8B"/>
    <w:rsid w:val="00E02DCD"/>
    <w:rsid w:val="00E03772"/>
    <w:rsid w:val="00E05E37"/>
    <w:rsid w:val="00E1048E"/>
    <w:rsid w:val="00E10510"/>
    <w:rsid w:val="00E11A17"/>
    <w:rsid w:val="00E1554E"/>
    <w:rsid w:val="00E17DEB"/>
    <w:rsid w:val="00E207CE"/>
    <w:rsid w:val="00E21356"/>
    <w:rsid w:val="00E2293B"/>
    <w:rsid w:val="00E243CE"/>
    <w:rsid w:val="00E330D3"/>
    <w:rsid w:val="00E3363F"/>
    <w:rsid w:val="00E34894"/>
    <w:rsid w:val="00E34997"/>
    <w:rsid w:val="00E37326"/>
    <w:rsid w:val="00E40E7C"/>
    <w:rsid w:val="00E462F2"/>
    <w:rsid w:val="00E529BB"/>
    <w:rsid w:val="00E55A19"/>
    <w:rsid w:val="00E55A52"/>
    <w:rsid w:val="00E5776D"/>
    <w:rsid w:val="00E622C2"/>
    <w:rsid w:val="00E676F0"/>
    <w:rsid w:val="00E76BE3"/>
    <w:rsid w:val="00E90A68"/>
    <w:rsid w:val="00E90B59"/>
    <w:rsid w:val="00E96A64"/>
    <w:rsid w:val="00EA0C76"/>
    <w:rsid w:val="00EA1635"/>
    <w:rsid w:val="00EA4895"/>
    <w:rsid w:val="00EA5B44"/>
    <w:rsid w:val="00EA6C5A"/>
    <w:rsid w:val="00EB2303"/>
    <w:rsid w:val="00EB3280"/>
    <w:rsid w:val="00EC0F85"/>
    <w:rsid w:val="00EC3F95"/>
    <w:rsid w:val="00ED3D68"/>
    <w:rsid w:val="00ED7E04"/>
    <w:rsid w:val="00ED7E23"/>
    <w:rsid w:val="00EE2F16"/>
    <w:rsid w:val="00EE50E3"/>
    <w:rsid w:val="00EE70DA"/>
    <w:rsid w:val="00EF2662"/>
    <w:rsid w:val="00EF7E01"/>
    <w:rsid w:val="00F000FC"/>
    <w:rsid w:val="00F03A00"/>
    <w:rsid w:val="00F05692"/>
    <w:rsid w:val="00F05D7C"/>
    <w:rsid w:val="00F060F4"/>
    <w:rsid w:val="00F101D1"/>
    <w:rsid w:val="00F137A1"/>
    <w:rsid w:val="00F15FF0"/>
    <w:rsid w:val="00F16B1D"/>
    <w:rsid w:val="00F20D3E"/>
    <w:rsid w:val="00F2205D"/>
    <w:rsid w:val="00F25E36"/>
    <w:rsid w:val="00F300D5"/>
    <w:rsid w:val="00F30416"/>
    <w:rsid w:val="00F30B4B"/>
    <w:rsid w:val="00F3375A"/>
    <w:rsid w:val="00F339CC"/>
    <w:rsid w:val="00F372DB"/>
    <w:rsid w:val="00F47667"/>
    <w:rsid w:val="00F50937"/>
    <w:rsid w:val="00F515B9"/>
    <w:rsid w:val="00F57AC4"/>
    <w:rsid w:val="00F62B61"/>
    <w:rsid w:val="00F65F5B"/>
    <w:rsid w:val="00F70054"/>
    <w:rsid w:val="00F704C4"/>
    <w:rsid w:val="00F70869"/>
    <w:rsid w:val="00F70AEF"/>
    <w:rsid w:val="00F732AD"/>
    <w:rsid w:val="00F73694"/>
    <w:rsid w:val="00F76FF6"/>
    <w:rsid w:val="00F81A45"/>
    <w:rsid w:val="00F82291"/>
    <w:rsid w:val="00F85C66"/>
    <w:rsid w:val="00F9545A"/>
    <w:rsid w:val="00F96BF6"/>
    <w:rsid w:val="00FA2014"/>
    <w:rsid w:val="00FA2B29"/>
    <w:rsid w:val="00FA3F28"/>
    <w:rsid w:val="00FA48FA"/>
    <w:rsid w:val="00FA5386"/>
    <w:rsid w:val="00FA64FE"/>
    <w:rsid w:val="00FA719C"/>
    <w:rsid w:val="00FB1238"/>
    <w:rsid w:val="00FB292F"/>
    <w:rsid w:val="00FB2CF7"/>
    <w:rsid w:val="00FB3AA4"/>
    <w:rsid w:val="00FB724F"/>
    <w:rsid w:val="00FC096D"/>
    <w:rsid w:val="00FC6809"/>
    <w:rsid w:val="00FC6E66"/>
    <w:rsid w:val="00FC7BE3"/>
    <w:rsid w:val="00FD35A4"/>
    <w:rsid w:val="00FD4524"/>
    <w:rsid w:val="00FD6E85"/>
    <w:rsid w:val="00FD7685"/>
    <w:rsid w:val="00FD7C56"/>
    <w:rsid w:val="00FE0063"/>
    <w:rsid w:val="00FE21CF"/>
    <w:rsid w:val="00FE2CA7"/>
    <w:rsid w:val="00FE7312"/>
    <w:rsid w:val="00FF05ED"/>
    <w:rsid w:val="00FF1B92"/>
    <w:rsid w:val="00FF1D17"/>
    <w:rsid w:val="00FF459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4846"/>
  <w15:docId w15:val="{CD273161-A685-4F26-9C9A-D081631B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A4D"/>
    <w:pPr>
      <w:spacing w:before="120" w:after="120"/>
      <w:jc w:val="both"/>
    </w:pPr>
    <w:rPr>
      <w:rFonts w:ascii="Segoe UI" w:hAnsi="Segoe UI"/>
      <w:sz w:val="20"/>
    </w:rPr>
  </w:style>
  <w:style w:type="paragraph" w:styleId="Heading1">
    <w:name w:val="heading 1"/>
    <w:basedOn w:val="Normal"/>
    <w:next w:val="Normal"/>
    <w:link w:val="Heading1Char"/>
    <w:uiPriority w:val="9"/>
    <w:qFormat/>
    <w:rsid w:val="0055349A"/>
    <w:pPr>
      <w:keepNext/>
      <w:keepLines/>
      <w:numPr>
        <w:numId w:val="1"/>
      </w:numPr>
      <w:pBdr>
        <w:bottom w:val="single" w:sz="12" w:space="1" w:color="0046AD"/>
      </w:pBdr>
      <w:spacing w:line="264" w:lineRule="auto"/>
      <w:jc w:val="left"/>
      <w:outlineLvl w:val="0"/>
    </w:pPr>
    <w:rPr>
      <w:rFonts w:eastAsiaTheme="majorEastAsia" w:cs="Segoe UI"/>
      <w:b/>
      <w:bCs/>
      <w:sz w:val="28"/>
      <w:szCs w:val="28"/>
    </w:rPr>
  </w:style>
  <w:style w:type="paragraph" w:styleId="Heading2">
    <w:name w:val="heading 2"/>
    <w:basedOn w:val="Normal"/>
    <w:next w:val="Normal"/>
    <w:link w:val="Heading2Char"/>
    <w:uiPriority w:val="9"/>
    <w:unhideWhenUsed/>
    <w:qFormat/>
    <w:rsid w:val="00040C2C"/>
    <w:pPr>
      <w:keepNext/>
      <w:keepLines/>
      <w:numPr>
        <w:ilvl w:val="1"/>
        <w:numId w:val="1"/>
      </w:numPr>
      <w:outlineLvl w:val="1"/>
    </w:pPr>
    <w:rPr>
      <w:rFonts w:eastAsiaTheme="majorEastAsia" w:cs="Segoe UI"/>
      <w:b/>
      <w:bCs/>
      <w:sz w:val="22"/>
      <w:szCs w:val="26"/>
    </w:rPr>
  </w:style>
  <w:style w:type="paragraph" w:styleId="Heading3">
    <w:name w:val="heading 3"/>
    <w:basedOn w:val="Normal"/>
    <w:next w:val="Normal"/>
    <w:link w:val="Heading3Char"/>
    <w:uiPriority w:val="9"/>
    <w:unhideWhenUsed/>
    <w:qFormat/>
    <w:rsid w:val="00080301"/>
    <w:pPr>
      <w:keepNext/>
      <w:keepLines/>
      <w:numPr>
        <w:ilvl w:val="2"/>
        <w:numId w:val="1"/>
      </w:numPr>
      <w:spacing w:before="200" w:after="0"/>
      <w:jc w:val="left"/>
      <w:outlineLvl w:val="2"/>
    </w:pPr>
    <w:rPr>
      <w:rFonts w:eastAsiaTheme="majorEastAsia" w:cs="Segoe UI"/>
      <w:b/>
      <w:bCs/>
      <w:i/>
      <w:sz w:val="22"/>
    </w:rPr>
  </w:style>
  <w:style w:type="paragraph" w:styleId="Heading4">
    <w:name w:val="heading 4"/>
    <w:basedOn w:val="Normal"/>
    <w:next w:val="Normal"/>
    <w:link w:val="Heading4Char"/>
    <w:uiPriority w:val="9"/>
    <w:unhideWhenUsed/>
    <w:qFormat/>
    <w:rsid w:val="00B45CAC"/>
    <w:pPr>
      <w:keepNext/>
      <w:keepLines/>
      <w:numPr>
        <w:ilvl w:val="3"/>
        <w:numId w:val="1"/>
      </w:numPr>
      <w:spacing w:before="200" w:after="0"/>
      <w:ind w:left="864"/>
      <w:outlineLvl w:val="3"/>
    </w:pPr>
    <w:rPr>
      <w:rFonts w:eastAsiaTheme="majorEastAsia" w:cs="Segoe UI"/>
      <w:b/>
      <w:bCs/>
      <w:i/>
      <w:iCs/>
      <w:color w:val="000000" w:themeColor="text1"/>
      <w:sz w:val="22"/>
    </w:rPr>
  </w:style>
  <w:style w:type="paragraph" w:styleId="Heading5">
    <w:name w:val="heading 5"/>
    <w:basedOn w:val="Normal"/>
    <w:next w:val="Normal"/>
    <w:link w:val="Heading5Char"/>
    <w:uiPriority w:val="9"/>
    <w:semiHidden/>
    <w:unhideWhenUsed/>
    <w:qFormat/>
    <w:rsid w:val="00B7428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28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28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28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7428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49A"/>
    <w:rPr>
      <w:rFonts w:ascii="Segoe UI" w:eastAsiaTheme="majorEastAsia" w:hAnsi="Segoe UI" w:cs="Segoe UI"/>
      <w:b/>
      <w:bCs/>
      <w:sz w:val="28"/>
      <w:szCs w:val="28"/>
    </w:rPr>
  </w:style>
  <w:style w:type="character" w:customStyle="1" w:styleId="Heading2Char">
    <w:name w:val="Heading 2 Char"/>
    <w:basedOn w:val="DefaultParagraphFont"/>
    <w:link w:val="Heading2"/>
    <w:uiPriority w:val="9"/>
    <w:rsid w:val="00040C2C"/>
    <w:rPr>
      <w:rFonts w:ascii="Segoe UI" w:eastAsiaTheme="majorEastAsia" w:hAnsi="Segoe UI" w:cs="Segoe UI"/>
      <w:b/>
      <w:bCs/>
      <w:szCs w:val="26"/>
    </w:rPr>
  </w:style>
  <w:style w:type="character" w:customStyle="1" w:styleId="Heading3Char">
    <w:name w:val="Heading 3 Char"/>
    <w:basedOn w:val="DefaultParagraphFont"/>
    <w:link w:val="Heading3"/>
    <w:uiPriority w:val="9"/>
    <w:rsid w:val="00080301"/>
    <w:rPr>
      <w:rFonts w:ascii="Segoe UI" w:eastAsiaTheme="majorEastAsia" w:hAnsi="Segoe UI" w:cs="Segoe UI"/>
      <w:b/>
      <w:bCs/>
      <w:i/>
    </w:rPr>
  </w:style>
  <w:style w:type="character" w:customStyle="1" w:styleId="Heading4Char">
    <w:name w:val="Heading 4 Char"/>
    <w:basedOn w:val="DefaultParagraphFont"/>
    <w:link w:val="Heading4"/>
    <w:uiPriority w:val="9"/>
    <w:rsid w:val="00B45CAC"/>
    <w:rPr>
      <w:rFonts w:ascii="Segoe UI" w:eastAsiaTheme="majorEastAsia" w:hAnsi="Segoe UI" w:cs="Segoe UI"/>
      <w:b/>
      <w:bCs/>
      <w:i/>
      <w:iCs/>
      <w:color w:val="000000" w:themeColor="text1"/>
    </w:rPr>
  </w:style>
  <w:style w:type="character" w:customStyle="1" w:styleId="Heading5Char">
    <w:name w:val="Heading 5 Char"/>
    <w:basedOn w:val="DefaultParagraphFont"/>
    <w:link w:val="Heading5"/>
    <w:uiPriority w:val="9"/>
    <w:semiHidden/>
    <w:rsid w:val="00B7428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B7428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B7428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B742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42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61CC"/>
    <w:pPr>
      <w:ind w:left="720"/>
      <w:contextualSpacing/>
    </w:pPr>
  </w:style>
  <w:style w:type="table" w:styleId="TableGrid">
    <w:name w:val="Table Grid"/>
    <w:basedOn w:val="TableNormal"/>
    <w:rsid w:val="00B4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basedOn w:val="Normal"/>
    <w:link w:val="TableRowChar"/>
    <w:qFormat/>
    <w:rsid w:val="00B441BF"/>
    <w:pPr>
      <w:spacing w:before="0" w:after="0" w:line="240" w:lineRule="auto"/>
    </w:pPr>
  </w:style>
  <w:style w:type="character" w:customStyle="1" w:styleId="TableRowChar">
    <w:name w:val="TableRow Char"/>
    <w:basedOn w:val="DefaultParagraphFont"/>
    <w:link w:val="TableRow"/>
    <w:rsid w:val="00B441BF"/>
    <w:rPr>
      <w:rFonts w:ascii="Segoe UI" w:hAnsi="Segoe UI"/>
      <w:sz w:val="20"/>
    </w:rPr>
  </w:style>
  <w:style w:type="paragraph" w:styleId="BalloonText">
    <w:name w:val="Balloon Text"/>
    <w:basedOn w:val="Normal"/>
    <w:link w:val="BalloonTextChar"/>
    <w:uiPriority w:val="99"/>
    <w:semiHidden/>
    <w:unhideWhenUsed/>
    <w:rsid w:val="00AB45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29"/>
    <w:rPr>
      <w:rFonts w:ascii="Tahoma" w:hAnsi="Tahoma" w:cs="Tahoma"/>
      <w:sz w:val="16"/>
      <w:szCs w:val="16"/>
    </w:rPr>
  </w:style>
  <w:style w:type="paragraph" w:styleId="Title">
    <w:name w:val="Title"/>
    <w:basedOn w:val="Normal"/>
    <w:next w:val="Normal"/>
    <w:link w:val="TitleChar"/>
    <w:autoRedefine/>
    <w:uiPriority w:val="10"/>
    <w:qFormat/>
    <w:rsid w:val="00795B5D"/>
    <w:pPr>
      <w:keepNext/>
      <w:pageBreakBefore/>
      <w:pBdr>
        <w:bottom w:val="single" w:sz="12" w:space="1" w:color="0046AD"/>
      </w:pBdr>
      <w:spacing w:before="0" w:after="0" w:line="264" w:lineRule="auto"/>
      <w:ind w:left="1440" w:hanging="1440"/>
      <w:jc w:val="center"/>
    </w:pPr>
    <w:rPr>
      <w:rFonts w:cs="Segoe UI"/>
      <w:b/>
      <w:caps/>
      <w:sz w:val="36"/>
      <w:szCs w:val="36"/>
    </w:rPr>
  </w:style>
  <w:style w:type="character" w:customStyle="1" w:styleId="TitleChar">
    <w:name w:val="Title Char"/>
    <w:basedOn w:val="DefaultParagraphFont"/>
    <w:link w:val="Title"/>
    <w:uiPriority w:val="10"/>
    <w:rsid w:val="00795B5D"/>
    <w:rPr>
      <w:rFonts w:ascii="Segoe UI" w:hAnsi="Segoe UI" w:cs="Segoe UI"/>
      <w:b/>
      <w:caps/>
      <w:sz w:val="36"/>
      <w:szCs w:val="36"/>
    </w:rPr>
  </w:style>
  <w:style w:type="paragraph" w:styleId="TOCHeading">
    <w:name w:val="TOC Heading"/>
    <w:basedOn w:val="Heading1"/>
    <w:next w:val="Normal"/>
    <w:uiPriority w:val="39"/>
    <w:unhideWhenUsed/>
    <w:qFormat/>
    <w:rsid w:val="0053308A"/>
    <w:pPr>
      <w:numPr>
        <w:numId w:val="0"/>
      </w:numPr>
      <w:pBdr>
        <w:bottom w:val="none" w:sz="0" w:space="0" w:color="auto"/>
      </w:pBdr>
      <w:spacing w:before="480" w:after="0" w:line="276" w:lineRule="auto"/>
      <w:outlineLvl w:val="9"/>
    </w:pPr>
    <w:rPr>
      <w:rFonts w:asciiTheme="majorHAnsi" w:hAnsiTheme="majorHAnsi" w:cstheme="majorBidi"/>
      <w:caps/>
      <w:color w:val="365F91" w:themeColor="accent1" w:themeShade="BF"/>
    </w:rPr>
  </w:style>
  <w:style w:type="paragraph" w:styleId="TOC1">
    <w:name w:val="toc 1"/>
    <w:basedOn w:val="Normal"/>
    <w:next w:val="Normal"/>
    <w:autoRedefine/>
    <w:uiPriority w:val="39"/>
    <w:unhideWhenUsed/>
    <w:rsid w:val="00DD7695"/>
    <w:pPr>
      <w:keepNext/>
      <w:tabs>
        <w:tab w:val="left" w:pos="660"/>
        <w:tab w:val="right" w:leader="dot" w:pos="9350"/>
      </w:tabs>
      <w:spacing w:before="0" w:after="0"/>
      <w:ind w:left="630" w:hanging="630"/>
    </w:pPr>
    <w:rPr>
      <w:rFonts w:ascii="Arial Bold" w:hAnsi="Arial Bold"/>
      <w:b/>
      <w:noProof/>
    </w:rPr>
  </w:style>
  <w:style w:type="paragraph" w:styleId="TOC2">
    <w:name w:val="toc 2"/>
    <w:basedOn w:val="Normal"/>
    <w:next w:val="Normal"/>
    <w:autoRedefine/>
    <w:uiPriority w:val="39"/>
    <w:unhideWhenUsed/>
    <w:rsid w:val="00504F92"/>
    <w:pPr>
      <w:tabs>
        <w:tab w:val="left" w:pos="880"/>
        <w:tab w:val="right" w:leader="dot" w:pos="9350"/>
      </w:tabs>
      <w:spacing w:before="0" w:after="0"/>
      <w:ind w:left="900" w:hanging="698"/>
    </w:pPr>
  </w:style>
  <w:style w:type="paragraph" w:styleId="TOC3">
    <w:name w:val="toc 3"/>
    <w:basedOn w:val="Normal"/>
    <w:next w:val="Normal"/>
    <w:autoRedefine/>
    <w:uiPriority w:val="39"/>
    <w:unhideWhenUsed/>
    <w:rsid w:val="001A05FA"/>
    <w:pPr>
      <w:tabs>
        <w:tab w:val="left" w:pos="1100"/>
        <w:tab w:val="right" w:leader="dot" w:pos="9350"/>
      </w:tabs>
      <w:spacing w:before="0" w:after="0"/>
      <w:ind w:left="403"/>
    </w:pPr>
  </w:style>
  <w:style w:type="character" w:styleId="Hyperlink">
    <w:name w:val="Hyperlink"/>
    <w:basedOn w:val="DefaultParagraphFont"/>
    <w:uiPriority w:val="99"/>
    <w:unhideWhenUsed/>
    <w:rsid w:val="001A05FA"/>
    <w:rPr>
      <w:color w:val="0000FF" w:themeColor="hyperlink"/>
      <w:u w:val="single"/>
    </w:rPr>
  </w:style>
  <w:style w:type="paragraph" w:styleId="Subtitle">
    <w:name w:val="Subtitle"/>
    <w:basedOn w:val="Normal"/>
    <w:next w:val="Normal"/>
    <w:link w:val="SubtitleChar"/>
    <w:uiPriority w:val="11"/>
    <w:qFormat/>
    <w:rsid w:val="007749DF"/>
    <w:pPr>
      <w:keepNext/>
      <w:spacing w:before="240"/>
    </w:pPr>
    <w:rPr>
      <w:rFonts w:ascii="Arial" w:hAnsi="Arial" w:cs="Arial"/>
      <w:b/>
    </w:rPr>
  </w:style>
  <w:style w:type="character" w:customStyle="1" w:styleId="SubtitleChar">
    <w:name w:val="Subtitle Char"/>
    <w:basedOn w:val="DefaultParagraphFont"/>
    <w:link w:val="Subtitle"/>
    <w:uiPriority w:val="11"/>
    <w:rsid w:val="007749DF"/>
    <w:rPr>
      <w:rFonts w:ascii="Arial" w:hAnsi="Arial" w:cs="Arial"/>
      <w:b/>
      <w:sz w:val="20"/>
    </w:rPr>
  </w:style>
  <w:style w:type="paragraph" w:styleId="NoSpacing">
    <w:name w:val="No Spacing"/>
    <w:link w:val="NoSpacingChar"/>
    <w:uiPriority w:val="1"/>
    <w:qFormat/>
    <w:rsid w:val="00B21FA6"/>
    <w:pPr>
      <w:spacing w:after="0" w:line="240" w:lineRule="auto"/>
    </w:pPr>
    <w:rPr>
      <w:rFonts w:ascii="Segoe UI" w:hAnsi="Segoe UI"/>
      <w:sz w:val="20"/>
    </w:rPr>
  </w:style>
  <w:style w:type="paragraph" w:styleId="Header">
    <w:name w:val="header"/>
    <w:basedOn w:val="Normal"/>
    <w:link w:val="HeaderChar"/>
    <w:uiPriority w:val="99"/>
    <w:unhideWhenUsed/>
    <w:rsid w:val="00B21F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1FA6"/>
    <w:rPr>
      <w:rFonts w:ascii="Segoe UI" w:hAnsi="Segoe UI"/>
      <w:sz w:val="20"/>
    </w:rPr>
  </w:style>
  <w:style w:type="paragraph" w:styleId="Footer">
    <w:name w:val="footer"/>
    <w:basedOn w:val="Normal"/>
    <w:link w:val="FooterChar"/>
    <w:uiPriority w:val="99"/>
    <w:unhideWhenUsed/>
    <w:rsid w:val="00B21F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21FA6"/>
    <w:rPr>
      <w:rFonts w:ascii="Segoe UI" w:hAnsi="Segoe UI"/>
      <w:sz w:val="20"/>
    </w:rPr>
  </w:style>
  <w:style w:type="character" w:styleId="FollowedHyperlink">
    <w:name w:val="FollowedHyperlink"/>
    <w:basedOn w:val="DefaultParagraphFont"/>
    <w:uiPriority w:val="99"/>
    <w:semiHidden/>
    <w:unhideWhenUsed/>
    <w:rsid w:val="00FE2CA7"/>
    <w:rPr>
      <w:color w:val="800080" w:themeColor="followedHyperlink"/>
      <w:u w:val="single"/>
    </w:rPr>
  </w:style>
  <w:style w:type="paragraph" w:customStyle="1" w:styleId="Table">
    <w:name w:val="Table"/>
    <w:basedOn w:val="Normal"/>
    <w:link w:val="TableChar"/>
    <w:qFormat/>
    <w:rsid w:val="00F05692"/>
    <w:pPr>
      <w:spacing w:before="0" w:after="0" w:line="240" w:lineRule="auto"/>
    </w:pPr>
  </w:style>
  <w:style w:type="character" w:customStyle="1" w:styleId="TableChar">
    <w:name w:val="Table Char"/>
    <w:basedOn w:val="DefaultParagraphFont"/>
    <w:link w:val="Table"/>
    <w:rsid w:val="00F05692"/>
    <w:rPr>
      <w:rFonts w:ascii="Segoe UI" w:hAnsi="Segoe UI"/>
      <w:sz w:val="20"/>
    </w:rPr>
  </w:style>
  <w:style w:type="paragraph" w:customStyle="1" w:styleId="Footers">
    <w:name w:val="Footers"/>
    <w:qFormat/>
    <w:rsid w:val="00034569"/>
    <w:pPr>
      <w:pBdr>
        <w:top w:val="single" w:sz="12" w:space="1" w:color="0046AD"/>
      </w:pBdr>
      <w:spacing w:after="0" w:line="240" w:lineRule="auto"/>
    </w:pPr>
    <w:rPr>
      <w:rFonts w:ascii="Segoe UI" w:hAnsi="Segoe UI"/>
      <w:noProof/>
      <w:sz w:val="18"/>
      <w:szCs w:val="18"/>
    </w:rPr>
  </w:style>
  <w:style w:type="paragraph" w:customStyle="1" w:styleId="Instructions">
    <w:name w:val="Instructions"/>
    <w:qFormat/>
    <w:rsid w:val="00657C0B"/>
    <w:pPr>
      <w:spacing w:after="0" w:line="240" w:lineRule="auto"/>
      <w:ind w:left="720"/>
      <w:jc w:val="both"/>
    </w:pPr>
    <w:rPr>
      <w:rFonts w:ascii="Times New Roman" w:eastAsia="Times New Roman" w:hAnsi="Times New Roman" w:cs="Times New Roman"/>
      <w:b/>
      <w:color w:val="FF0000"/>
      <w:sz w:val="20"/>
      <w:szCs w:val="20"/>
    </w:rPr>
  </w:style>
  <w:style w:type="paragraph" w:customStyle="1" w:styleId="NormalReportIndent">
    <w:name w:val="Normal Report Indent"/>
    <w:link w:val="NormalReportIndentChar"/>
    <w:qFormat/>
    <w:rsid w:val="00650324"/>
    <w:pPr>
      <w:spacing w:before="120" w:after="120" w:line="240" w:lineRule="auto"/>
      <w:ind w:left="720"/>
      <w:jc w:val="both"/>
    </w:pPr>
    <w:rPr>
      <w:rFonts w:ascii="Times New Roman" w:eastAsia="Times New Roman" w:hAnsi="Times New Roman" w:cs="Times New Roman"/>
      <w:sz w:val="24"/>
      <w:szCs w:val="20"/>
    </w:rPr>
  </w:style>
  <w:style w:type="character" w:customStyle="1" w:styleId="NormalReportIndentChar">
    <w:name w:val="Normal Report Indent Char"/>
    <w:basedOn w:val="DefaultParagraphFont"/>
    <w:link w:val="NormalReportIndent"/>
    <w:rsid w:val="00650324"/>
    <w:rPr>
      <w:rFonts w:ascii="Times New Roman" w:eastAsia="Times New Roman" w:hAnsi="Times New Roman" w:cs="Times New Roman"/>
      <w:sz w:val="24"/>
      <w:szCs w:val="20"/>
    </w:rPr>
  </w:style>
  <w:style w:type="paragraph" w:customStyle="1" w:styleId="TableTextLeft">
    <w:name w:val="Table Text Left"/>
    <w:qFormat/>
    <w:rsid w:val="00D228CE"/>
    <w:pPr>
      <w:spacing w:before="60" w:after="0" w:line="240" w:lineRule="auto"/>
      <w:jc w:val="both"/>
    </w:pPr>
    <w:rPr>
      <w:rFonts w:ascii="Times New Roman" w:eastAsia="Times New Roman" w:hAnsi="Times New Roman" w:cs="Times New Roman"/>
      <w:sz w:val="24"/>
      <w:szCs w:val="20"/>
    </w:rPr>
  </w:style>
  <w:style w:type="paragraph" w:customStyle="1" w:styleId="Bullet1">
    <w:name w:val="Bullet 1"/>
    <w:qFormat/>
    <w:rsid w:val="00D620B9"/>
    <w:pPr>
      <w:numPr>
        <w:numId w:val="2"/>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iCs/>
      <w:sz w:val="24"/>
      <w:szCs w:val="20"/>
    </w:rPr>
  </w:style>
  <w:style w:type="paragraph" w:customStyle="1" w:styleId="NormRptIndent">
    <w:name w:val="Norm Rpt Indent"/>
    <w:basedOn w:val="Normal"/>
    <w:link w:val="NormRptIndentChar"/>
    <w:rsid w:val="007B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before="0" w:after="240" w:line="240" w:lineRule="auto"/>
      <w:ind w:left="720"/>
      <w:textAlignment w:val="baseline"/>
    </w:pPr>
    <w:rPr>
      <w:rFonts w:ascii="Times New Roman" w:eastAsia="Times New Roman" w:hAnsi="Times New Roman" w:cs="Times New Roman"/>
      <w:color w:val="0C44F8"/>
      <w:sz w:val="24"/>
      <w:szCs w:val="24"/>
    </w:rPr>
  </w:style>
  <w:style w:type="character" w:customStyle="1" w:styleId="NormRptIndentChar">
    <w:name w:val="Norm Rpt Indent Char"/>
    <w:basedOn w:val="DefaultParagraphFont"/>
    <w:link w:val="NormRptIndent"/>
    <w:rsid w:val="007B31A4"/>
    <w:rPr>
      <w:rFonts w:ascii="Times New Roman" w:eastAsia="Times New Roman" w:hAnsi="Times New Roman" w:cs="Times New Roman"/>
      <w:color w:val="0C44F8"/>
      <w:sz w:val="24"/>
      <w:szCs w:val="24"/>
    </w:rPr>
  </w:style>
  <w:style w:type="paragraph" w:customStyle="1" w:styleId="NormalReport">
    <w:name w:val="Normal Report"/>
    <w:link w:val="NormalReportChar"/>
    <w:qFormat/>
    <w:rsid w:val="00F3375A"/>
    <w:pPr>
      <w:suppressAutoHyphens/>
      <w:spacing w:before="120" w:after="120" w:line="240" w:lineRule="auto"/>
      <w:jc w:val="both"/>
    </w:pPr>
    <w:rPr>
      <w:rFonts w:ascii="Times New Roman" w:eastAsia="Times New Roman" w:hAnsi="Times New Roman" w:cs="Times New Roman"/>
      <w:sz w:val="24"/>
      <w:szCs w:val="20"/>
    </w:rPr>
  </w:style>
  <w:style w:type="character" w:customStyle="1" w:styleId="NormalReportChar">
    <w:name w:val="Normal Report Char"/>
    <w:basedOn w:val="DefaultParagraphFont"/>
    <w:link w:val="NormalReport"/>
    <w:rsid w:val="00F3375A"/>
    <w:rPr>
      <w:rFonts w:ascii="Times New Roman" w:eastAsia="Times New Roman" w:hAnsi="Times New Roman" w:cs="Times New Roman"/>
      <w:sz w:val="24"/>
      <w:szCs w:val="20"/>
    </w:rPr>
  </w:style>
  <w:style w:type="paragraph" w:customStyle="1" w:styleId="TableColumnHeading">
    <w:name w:val="Table Column Heading"/>
    <w:basedOn w:val="TableTextLeft"/>
    <w:qFormat/>
    <w:rsid w:val="00C42B2E"/>
    <w:pPr>
      <w:keepNext/>
      <w:jc w:val="center"/>
    </w:pPr>
    <w:rPr>
      <w:color w:val="FFFFFF"/>
    </w:rPr>
  </w:style>
  <w:style w:type="paragraph" w:customStyle="1" w:styleId="TableTextCenter">
    <w:name w:val="Table Text Center"/>
    <w:qFormat/>
    <w:rsid w:val="00C42B2E"/>
    <w:pPr>
      <w:spacing w:before="60" w:after="0" w:line="240" w:lineRule="auto"/>
      <w:jc w:val="center"/>
    </w:pPr>
    <w:rPr>
      <w:rFonts w:ascii="Times New Roman" w:eastAsia="Times New Roman" w:hAnsi="Times New Roman" w:cs="Times New Roman"/>
      <w:sz w:val="24"/>
      <w:szCs w:val="20"/>
    </w:rPr>
  </w:style>
  <w:style w:type="paragraph" w:customStyle="1" w:styleId="TableRowHeading">
    <w:name w:val="Table Row Heading"/>
    <w:next w:val="TableTextLeft"/>
    <w:qFormat/>
    <w:rsid w:val="00C42B2E"/>
    <w:pPr>
      <w:spacing w:before="60" w:after="0" w:line="240" w:lineRule="auto"/>
    </w:pPr>
    <w:rPr>
      <w:rFonts w:ascii="Times New Roman" w:eastAsia="Times New Roman" w:hAnsi="Times New Roman" w:cs="Times New Roman"/>
      <w:color w:val="FFFFFF"/>
      <w:sz w:val="24"/>
      <w:szCs w:val="20"/>
    </w:rPr>
  </w:style>
  <w:style w:type="paragraph" w:styleId="BodyTextIndent">
    <w:name w:val="Body Text Indent"/>
    <w:basedOn w:val="Normal"/>
    <w:link w:val="BodyTextIndentChar"/>
    <w:uiPriority w:val="99"/>
    <w:unhideWhenUsed/>
    <w:rsid w:val="00C413A6"/>
    <w:pPr>
      <w:ind w:left="360"/>
      <w:jc w:val="left"/>
    </w:pPr>
  </w:style>
  <w:style w:type="character" w:customStyle="1" w:styleId="BodyTextIndentChar">
    <w:name w:val="Body Text Indent Char"/>
    <w:basedOn w:val="DefaultParagraphFont"/>
    <w:link w:val="BodyTextIndent"/>
    <w:uiPriority w:val="99"/>
    <w:rsid w:val="00C413A6"/>
    <w:rPr>
      <w:rFonts w:ascii="Segoe UI" w:hAnsi="Segoe UI"/>
      <w:sz w:val="20"/>
    </w:rPr>
  </w:style>
  <w:style w:type="paragraph" w:styleId="BodyText">
    <w:name w:val="Body Text"/>
    <w:basedOn w:val="Normal"/>
    <w:link w:val="BodyTextChar"/>
    <w:uiPriority w:val="99"/>
    <w:semiHidden/>
    <w:unhideWhenUsed/>
    <w:rsid w:val="00001E68"/>
  </w:style>
  <w:style w:type="character" w:customStyle="1" w:styleId="BodyTextChar">
    <w:name w:val="Body Text Char"/>
    <w:basedOn w:val="DefaultParagraphFont"/>
    <w:link w:val="BodyText"/>
    <w:uiPriority w:val="99"/>
    <w:semiHidden/>
    <w:rsid w:val="00001E68"/>
    <w:rPr>
      <w:rFonts w:ascii="Segoe UI" w:hAnsi="Segoe UI"/>
      <w:sz w:val="20"/>
    </w:rPr>
  </w:style>
  <w:style w:type="paragraph" w:customStyle="1" w:styleId="Default">
    <w:name w:val="Default"/>
    <w:rsid w:val="003245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99"/>
    <w:locked/>
    <w:rsid w:val="00C90752"/>
    <w:rPr>
      <w:rFonts w:ascii="Segoe UI" w:hAnsi="Segoe UI"/>
      <w:sz w:val="20"/>
    </w:rPr>
  </w:style>
  <w:style w:type="character" w:styleId="PlaceholderText">
    <w:name w:val="Placeholder Text"/>
    <w:basedOn w:val="DefaultParagraphFont"/>
    <w:uiPriority w:val="99"/>
    <w:semiHidden/>
    <w:rsid w:val="00521AA8"/>
    <w:rPr>
      <w:color w:val="808080"/>
    </w:rPr>
  </w:style>
  <w:style w:type="character" w:styleId="CommentReference">
    <w:name w:val="annotation reference"/>
    <w:basedOn w:val="DefaultParagraphFont"/>
    <w:uiPriority w:val="99"/>
    <w:semiHidden/>
    <w:unhideWhenUsed/>
    <w:rsid w:val="0048305A"/>
    <w:rPr>
      <w:sz w:val="16"/>
      <w:szCs w:val="16"/>
    </w:rPr>
  </w:style>
  <w:style w:type="paragraph" w:styleId="CommentText">
    <w:name w:val="annotation text"/>
    <w:basedOn w:val="Normal"/>
    <w:link w:val="CommentTextChar"/>
    <w:uiPriority w:val="99"/>
    <w:semiHidden/>
    <w:unhideWhenUsed/>
    <w:rsid w:val="0048305A"/>
    <w:pPr>
      <w:spacing w:line="240" w:lineRule="auto"/>
    </w:pPr>
    <w:rPr>
      <w:szCs w:val="20"/>
    </w:rPr>
  </w:style>
  <w:style w:type="character" w:customStyle="1" w:styleId="CommentTextChar">
    <w:name w:val="Comment Text Char"/>
    <w:basedOn w:val="DefaultParagraphFont"/>
    <w:link w:val="CommentText"/>
    <w:uiPriority w:val="99"/>
    <w:semiHidden/>
    <w:rsid w:val="0048305A"/>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8305A"/>
    <w:rPr>
      <w:b/>
      <w:bCs/>
    </w:rPr>
  </w:style>
  <w:style w:type="character" w:customStyle="1" w:styleId="CommentSubjectChar">
    <w:name w:val="Comment Subject Char"/>
    <w:basedOn w:val="CommentTextChar"/>
    <w:link w:val="CommentSubject"/>
    <w:uiPriority w:val="99"/>
    <w:semiHidden/>
    <w:rsid w:val="0048305A"/>
    <w:rPr>
      <w:rFonts w:ascii="Segoe UI" w:hAnsi="Segoe UI"/>
      <w:b/>
      <w:bCs/>
      <w:sz w:val="20"/>
      <w:szCs w:val="20"/>
    </w:rPr>
  </w:style>
  <w:style w:type="paragraph" w:customStyle="1" w:styleId="NormRpt">
    <w:name w:val="Norm Rpt"/>
    <w:basedOn w:val="Normal"/>
    <w:link w:val="NormRptChar"/>
    <w:rsid w:val="00D03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ind w:left="720"/>
    </w:pPr>
    <w:rPr>
      <w:rFonts w:eastAsia="Times New Roman" w:cs="Times New Roman"/>
      <w:sz w:val="22"/>
      <w:szCs w:val="20"/>
    </w:rPr>
  </w:style>
  <w:style w:type="character" w:customStyle="1" w:styleId="NormRptChar">
    <w:name w:val="Norm Rpt Char"/>
    <w:basedOn w:val="DefaultParagraphFont"/>
    <w:link w:val="NormRpt"/>
    <w:rsid w:val="00D039B1"/>
    <w:rPr>
      <w:rFonts w:ascii="Segoe UI" w:eastAsia="Times New Roman" w:hAnsi="Segoe UI" w:cs="Times New Roman"/>
      <w:szCs w:val="20"/>
    </w:rPr>
  </w:style>
  <w:style w:type="paragraph" w:customStyle="1" w:styleId="Appendix">
    <w:name w:val="Appendix"/>
    <w:basedOn w:val="Title"/>
    <w:rsid w:val="00795B5D"/>
    <w:pPr>
      <w:spacing w:before="5000"/>
    </w:pPr>
  </w:style>
  <w:style w:type="paragraph" w:customStyle="1" w:styleId="Exhibits">
    <w:name w:val="Exhibits"/>
    <w:basedOn w:val="Title"/>
    <w:link w:val="ExhibitsChar"/>
    <w:qFormat/>
    <w:rsid w:val="00C237A6"/>
  </w:style>
  <w:style w:type="character" w:customStyle="1" w:styleId="ExhibitsChar">
    <w:name w:val="Exhibits Char"/>
    <w:basedOn w:val="TitleChar"/>
    <w:link w:val="Exhibits"/>
    <w:rsid w:val="00C237A6"/>
    <w:rPr>
      <w:rFonts w:ascii="Segoe UI" w:hAnsi="Segoe UI" w:cs="Segoe UI"/>
      <w:b/>
      <w:caps/>
      <w:sz w:val="36"/>
      <w:szCs w:val="36"/>
    </w:rPr>
  </w:style>
  <w:style w:type="paragraph" w:styleId="Revision">
    <w:name w:val="Revision"/>
    <w:hidden/>
    <w:uiPriority w:val="99"/>
    <w:semiHidden/>
    <w:rsid w:val="00115467"/>
    <w:pPr>
      <w:spacing w:after="0" w:line="240" w:lineRule="auto"/>
    </w:pPr>
    <w:rPr>
      <w:rFonts w:ascii="Segoe UI" w:hAnsi="Segoe UI"/>
      <w:sz w:val="20"/>
    </w:rPr>
  </w:style>
  <w:style w:type="character" w:customStyle="1" w:styleId="NoSpacingChar">
    <w:name w:val="No Spacing Char"/>
    <w:basedOn w:val="DefaultParagraphFont"/>
    <w:link w:val="NoSpacing"/>
    <w:uiPriority w:val="1"/>
    <w:rsid w:val="004F59A6"/>
    <w:rPr>
      <w:rFonts w:ascii="Segoe UI" w:hAnsi="Segoe UI"/>
      <w:sz w:val="20"/>
    </w:rPr>
  </w:style>
  <w:style w:type="paragraph" w:customStyle="1" w:styleId="ListParagraph2">
    <w:name w:val="List Paragraph 2"/>
    <w:basedOn w:val="ListParagraph"/>
    <w:qFormat/>
    <w:rsid w:val="00552ADF"/>
    <w:pPr>
      <w:numPr>
        <w:numId w:val="10"/>
      </w:numPr>
      <w:spacing w:before="0" w:after="0" w:line="240" w:lineRule="auto"/>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8679">
      <w:bodyDiv w:val="1"/>
      <w:marLeft w:val="0"/>
      <w:marRight w:val="0"/>
      <w:marTop w:val="0"/>
      <w:marBottom w:val="0"/>
      <w:divBdr>
        <w:top w:val="none" w:sz="0" w:space="0" w:color="auto"/>
        <w:left w:val="none" w:sz="0" w:space="0" w:color="auto"/>
        <w:bottom w:val="none" w:sz="0" w:space="0" w:color="auto"/>
        <w:right w:val="none" w:sz="0" w:space="0" w:color="auto"/>
      </w:divBdr>
    </w:div>
    <w:div w:id="115491511">
      <w:bodyDiv w:val="1"/>
      <w:marLeft w:val="0"/>
      <w:marRight w:val="0"/>
      <w:marTop w:val="0"/>
      <w:marBottom w:val="0"/>
      <w:divBdr>
        <w:top w:val="none" w:sz="0" w:space="0" w:color="auto"/>
        <w:left w:val="none" w:sz="0" w:space="0" w:color="auto"/>
        <w:bottom w:val="none" w:sz="0" w:space="0" w:color="auto"/>
        <w:right w:val="none" w:sz="0" w:space="0" w:color="auto"/>
      </w:divBdr>
      <w:divsChild>
        <w:div w:id="1237856785">
          <w:marLeft w:val="547"/>
          <w:marRight w:val="0"/>
          <w:marTop w:val="72"/>
          <w:marBottom w:val="0"/>
          <w:divBdr>
            <w:top w:val="none" w:sz="0" w:space="0" w:color="auto"/>
            <w:left w:val="none" w:sz="0" w:space="0" w:color="auto"/>
            <w:bottom w:val="none" w:sz="0" w:space="0" w:color="auto"/>
            <w:right w:val="none" w:sz="0" w:space="0" w:color="auto"/>
          </w:divBdr>
        </w:div>
        <w:div w:id="1261789943">
          <w:marLeft w:val="547"/>
          <w:marRight w:val="0"/>
          <w:marTop w:val="72"/>
          <w:marBottom w:val="0"/>
          <w:divBdr>
            <w:top w:val="none" w:sz="0" w:space="0" w:color="auto"/>
            <w:left w:val="none" w:sz="0" w:space="0" w:color="auto"/>
            <w:bottom w:val="none" w:sz="0" w:space="0" w:color="auto"/>
            <w:right w:val="none" w:sz="0" w:space="0" w:color="auto"/>
          </w:divBdr>
        </w:div>
        <w:div w:id="838424708">
          <w:marLeft w:val="547"/>
          <w:marRight w:val="0"/>
          <w:marTop w:val="72"/>
          <w:marBottom w:val="0"/>
          <w:divBdr>
            <w:top w:val="none" w:sz="0" w:space="0" w:color="auto"/>
            <w:left w:val="none" w:sz="0" w:space="0" w:color="auto"/>
            <w:bottom w:val="none" w:sz="0" w:space="0" w:color="auto"/>
            <w:right w:val="none" w:sz="0" w:space="0" w:color="auto"/>
          </w:divBdr>
        </w:div>
        <w:div w:id="1805082042">
          <w:marLeft w:val="547"/>
          <w:marRight w:val="0"/>
          <w:marTop w:val="72"/>
          <w:marBottom w:val="0"/>
          <w:divBdr>
            <w:top w:val="none" w:sz="0" w:space="0" w:color="auto"/>
            <w:left w:val="none" w:sz="0" w:space="0" w:color="auto"/>
            <w:bottom w:val="none" w:sz="0" w:space="0" w:color="auto"/>
            <w:right w:val="none" w:sz="0" w:space="0" w:color="auto"/>
          </w:divBdr>
        </w:div>
        <w:div w:id="1485318715">
          <w:marLeft w:val="547"/>
          <w:marRight w:val="0"/>
          <w:marTop w:val="72"/>
          <w:marBottom w:val="0"/>
          <w:divBdr>
            <w:top w:val="none" w:sz="0" w:space="0" w:color="auto"/>
            <w:left w:val="none" w:sz="0" w:space="0" w:color="auto"/>
            <w:bottom w:val="none" w:sz="0" w:space="0" w:color="auto"/>
            <w:right w:val="none" w:sz="0" w:space="0" w:color="auto"/>
          </w:divBdr>
        </w:div>
        <w:div w:id="1866673015">
          <w:marLeft w:val="547"/>
          <w:marRight w:val="0"/>
          <w:marTop w:val="72"/>
          <w:marBottom w:val="0"/>
          <w:divBdr>
            <w:top w:val="none" w:sz="0" w:space="0" w:color="auto"/>
            <w:left w:val="none" w:sz="0" w:space="0" w:color="auto"/>
            <w:bottom w:val="none" w:sz="0" w:space="0" w:color="auto"/>
            <w:right w:val="none" w:sz="0" w:space="0" w:color="auto"/>
          </w:divBdr>
        </w:div>
        <w:div w:id="128020004">
          <w:marLeft w:val="1166"/>
          <w:marRight w:val="0"/>
          <w:marTop w:val="62"/>
          <w:marBottom w:val="0"/>
          <w:divBdr>
            <w:top w:val="none" w:sz="0" w:space="0" w:color="auto"/>
            <w:left w:val="none" w:sz="0" w:space="0" w:color="auto"/>
            <w:bottom w:val="none" w:sz="0" w:space="0" w:color="auto"/>
            <w:right w:val="none" w:sz="0" w:space="0" w:color="auto"/>
          </w:divBdr>
        </w:div>
      </w:divsChild>
    </w:div>
    <w:div w:id="149946541">
      <w:bodyDiv w:val="1"/>
      <w:marLeft w:val="0"/>
      <w:marRight w:val="0"/>
      <w:marTop w:val="0"/>
      <w:marBottom w:val="0"/>
      <w:divBdr>
        <w:top w:val="none" w:sz="0" w:space="0" w:color="auto"/>
        <w:left w:val="none" w:sz="0" w:space="0" w:color="auto"/>
        <w:bottom w:val="none" w:sz="0" w:space="0" w:color="auto"/>
        <w:right w:val="none" w:sz="0" w:space="0" w:color="auto"/>
      </w:divBdr>
    </w:div>
    <w:div w:id="154303101">
      <w:bodyDiv w:val="1"/>
      <w:marLeft w:val="0"/>
      <w:marRight w:val="0"/>
      <w:marTop w:val="0"/>
      <w:marBottom w:val="0"/>
      <w:divBdr>
        <w:top w:val="none" w:sz="0" w:space="0" w:color="auto"/>
        <w:left w:val="none" w:sz="0" w:space="0" w:color="auto"/>
        <w:bottom w:val="none" w:sz="0" w:space="0" w:color="auto"/>
        <w:right w:val="none" w:sz="0" w:space="0" w:color="auto"/>
      </w:divBdr>
    </w:div>
    <w:div w:id="180123446">
      <w:bodyDiv w:val="1"/>
      <w:marLeft w:val="0"/>
      <w:marRight w:val="0"/>
      <w:marTop w:val="0"/>
      <w:marBottom w:val="0"/>
      <w:divBdr>
        <w:top w:val="none" w:sz="0" w:space="0" w:color="auto"/>
        <w:left w:val="none" w:sz="0" w:space="0" w:color="auto"/>
        <w:bottom w:val="none" w:sz="0" w:space="0" w:color="auto"/>
        <w:right w:val="none" w:sz="0" w:space="0" w:color="auto"/>
      </w:divBdr>
    </w:div>
    <w:div w:id="205529702">
      <w:bodyDiv w:val="1"/>
      <w:marLeft w:val="0"/>
      <w:marRight w:val="0"/>
      <w:marTop w:val="0"/>
      <w:marBottom w:val="0"/>
      <w:divBdr>
        <w:top w:val="none" w:sz="0" w:space="0" w:color="auto"/>
        <w:left w:val="none" w:sz="0" w:space="0" w:color="auto"/>
        <w:bottom w:val="none" w:sz="0" w:space="0" w:color="auto"/>
        <w:right w:val="none" w:sz="0" w:space="0" w:color="auto"/>
      </w:divBdr>
    </w:div>
    <w:div w:id="216360548">
      <w:bodyDiv w:val="1"/>
      <w:marLeft w:val="0"/>
      <w:marRight w:val="0"/>
      <w:marTop w:val="0"/>
      <w:marBottom w:val="0"/>
      <w:divBdr>
        <w:top w:val="none" w:sz="0" w:space="0" w:color="auto"/>
        <w:left w:val="none" w:sz="0" w:space="0" w:color="auto"/>
        <w:bottom w:val="none" w:sz="0" w:space="0" w:color="auto"/>
        <w:right w:val="none" w:sz="0" w:space="0" w:color="auto"/>
      </w:divBdr>
    </w:div>
    <w:div w:id="231160044">
      <w:bodyDiv w:val="1"/>
      <w:marLeft w:val="0"/>
      <w:marRight w:val="0"/>
      <w:marTop w:val="0"/>
      <w:marBottom w:val="0"/>
      <w:divBdr>
        <w:top w:val="none" w:sz="0" w:space="0" w:color="auto"/>
        <w:left w:val="none" w:sz="0" w:space="0" w:color="auto"/>
        <w:bottom w:val="none" w:sz="0" w:space="0" w:color="auto"/>
        <w:right w:val="none" w:sz="0" w:space="0" w:color="auto"/>
      </w:divBdr>
    </w:div>
    <w:div w:id="311718297">
      <w:bodyDiv w:val="1"/>
      <w:marLeft w:val="0"/>
      <w:marRight w:val="0"/>
      <w:marTop w:val="0"/>
      <w:marBottom w:val="0"/>
      <w:divBdr>
        <w:top w:val="none" w:sz="0" w:space="0" w:color="auto"/>
        <w:left w:val="none" w:sz="0" w:space="0" w:color="auto"/>
        <w:bottom w:val="none" w:sz="0" w:space="0" w:color="auto"/>
        <w:right w:val="none" w:sz="0" w:space="0" w:color="auto"/>
      </w:divBdr>
    </w:div>
    <w:div w:id="325786516">
      <w:bodyDiv w:val="1"/>
      <w:marLeft w:val="0"/>
      <w:marRight w:val="0"/>
      <w:marTop w:val="0"/>
      <w:marBottom w:val="0"/>
      <w:divBdr>
        <w:top w:val="none" w:sz="0" w:space="0" w:color="auto"/>
        <w:left w:val="none" w:sz="0" w:space="0" w:color="auto"/>
        <w:bottom w:val="none" w:sz="0" w:space="0" w:color="auto"/>
        <w:right w:val="none" w:sz="0" w:space="0" w:color="auto"/>
      </w:divBdr>
    </w:div>
    <w:div w:id="339816054">
      <w:bodyDiv w:val="1"/>
      <w:marLeft w:val="0"/>
      <w:marRight w:val="0"/>
      <w:marTop w:val="0"/>
      <w:marBottom w:val="0"/>
      <w:divBdr>
        <w:top w:val="none" w:sz="0" w:space="0" w:color="auto"/>
        <w:left w:val="none" w:sz="0" w:space="0" w:color="auto"/>
        <w:bottom w:val="none" w:sz="0" w:space="0" w:color="auto"/>
        <w:right w:val="none" w:sz="0" w:space="0" w:color="auto"/>
      </w:divBdr>
    </w:div>
    <w:div w:id="347561490">
      <w:bodyDiv w:val="1"/>
      <w:marLeft w:val="0"/>
      <w:marRight w:val="0"/>
      <w:marTop w:val="0"/>
      <w:marBottom w:val="0"/>
      <w:divBdr>
        <w:top w:val="none" w:sz="0" w:space="0" w:color="auto"/>
        <w:left w:val="none" w:sz="0" w:space="0" w:color="auto"/>
        <w:bottom w:val="none" w:sz="0" w:space="0" w:color="auto"/>
        <w:right w:val="none" w:sz="0" w:space="0" w:color="auto"/>
      </w:divBdr>
    </w:div>
    <w:div w:id="387808222">
      <w:bodyDiv w:val="1"/>
      <w:marLeft w:val="0"/>
      <w:marRight w:val="0"/>
      <w:marTop w:val="0"/>
      <w:marBottom w:val="0"/>
      <w:divBdr>
        <w:top w:val="none" w:sz="0" w:space="0" w:color="auto"/>
        <w:left w:val="none" w:sz="0" w:space="0" w:color="auto"/>
        <w:bottom w:val="none" w:sz="0" w:space="0" w:color="auto"/>
        <w:right w:val="none" w:sz="0" w:space="0" w:color="auto"/>
      </w:divBdr>
    </w:div>
    <w:div w:id="411127831">
      <w:bodyDiv w:val="1"/>
      <w:marLeft w:val="0"/>
      <w:marRight w:val="0"/>
      <w:marTop w:val="0"/>
      <w:marBottom w:val="0"/>
      <w:divBdr>
        <w:top w:val="none" w:sz="0" w:space="0" w:color="auto"/>
        <w:left w:val="none" w:sz="0" w:space="0" w:color="auto"/>
        <w:bottom w:val="none" w:sz="0" w:space="0" w:color="auto"/>
        <w:right w:val="none" w:sz="0" w:space="0" w:color="auto"/>
      </w:divBdr>
    </w:div>
    <w:div w:id="465127060">
      <w:bodyDiv w:val="1"/>
      <w:marLeft w:val="0"/>
      <w:marRight w:val="0"/>
      <w:marTop w:val="0"/>
      <w:marBottom w:val="0"/>
      <w:divBdr>
        <w:top w:val="none" w:sz="0" w:space="0" w:color="auto"/>
        <w:left w:val="none" w:sz="0" w:space="0" w:color="auto"/>
        <w:bottom w:val="none" w:sz="0" w:space="0" w:color="auto"/>
        <w:right w:val="none" w:sz="0" w:space="0" w:color="auto"/>
      </w:divBdr>
    </w:div>
    <w:div w:id="656037272">
      <w:bodyDiv w:val="1"/>
      <w:marLeft w:val="0"/>
      <w:marRight w:val="0"/>
      <w:marTop w:val="0"/>
      <w:marBottom w:val="0"/>
      <w:divBdr>
        <w:top w:val="none" w:sz="0" w:space="0" w:color="auto"/>
        <w:left w:val="none" w:sz="0" w:space="0" w:color="auto"/>
        <w:bottom w:val="none" w:sz="0" w:space="0" w:color="auto"/>
        <w:right w:val="none" w:sz="0" w:space="0" w:color="auto"/>
      </w:divBdr>
    </w:div>
    <w:div w:id="685013805">
      <w:bodyDiv w:val="1"/>
      <w:marLeft w:val="0"/>
      <w:marRight w:val="0"/>
      <w:marTop w:val="0"/>
      <w:marBottom w:val="0"/>
      <w:divBdr>
        <w:top w:val="none" w:sz="0" w:space="0" w:color="auto"/>
        <w:left w:val="none" w:sz="0" w:space="0" w:color="auto"/>
        <w:bottom w:val="none" w:sz="0" w:space="0" w:color="auto"/>
        <w:right w:val="none" w:sz="0" w:space="0" w:color="auto"/>
      </w:divBdr>
    </w:div>
    <w:div w:id="685984609">
      <w:bodyDiv w:val="1"/>
      <w:marLeft w:val="0"/>
      <w:marRight w:val="0"/>
      <w:marTop w:val="0"/>
      <w:marBottom w:val="0"/>
      <w:divBdr>
        <w:top w:val="none" w:sz="0" w:space="0" w:color="auto"/>
        <w:left w:val="none" w:sz="0" w:space="0" w:color="auto"/>
        <w:bottom w:val="none" w:sz="0" w:space="0" w:color="auto"/>
        <w:right w:val="none" w:sz="0" w:space="0" w:color="auto"/>
      </w:divBdr>
    </w:div>
    <w:div w:id="693924205">
      <w:bodyDiv w:val="1"/>
      <w:marLeft w:val="0"/>
      <w:marRight w:val="0"/>
      <w:marTop w:val="0"/>
      <w:marBottom w:val="0"/>
      <w:divBdr>
        <w:top w:val="none" w:sz="0" w:space="0" w:color="auto"/>
        <w:left w:val="none" w:sz="0" w:space="0" w:color="auto"/>
        <w:bottom w:val="none" w:sz="0" w:space="0" w:color="auto"/>
        <w:right w:val="none" w:sz="0" w:space="0" w:color="auto"/>
      </w:divBdr>
    </w:div>
    <w:div w:id="746611858">
      <w:bodyDiv w:val="1"/>
      <w:marLeft w:val="0"/>
      <w:marRight w:val="0"/>
      <w:marTop w:val="0"/>
      <w:marBottom w:val="0"/>
      <w:divBdr>
        <w:top w:val="none" w:sz="0" w:space="0" w:color="auto"/>
        <w:left w:val="none" w:sz="0" w:space="0" w:color="auto"/>
        <w:bottom w:val="none" w:sz="0" w:space="0" w:color="auto"/>
        <w:right w:val="none" w:sz="0" w:space="0" w:color="auto"/>
      </w:divBdr>
    </w:div>
    <w:div w:id="760836317">
      <w:bodyDiv w:val="1"/>
      <w:marLeft w:val="0"/>
      <w:marRight w:val="0"/>
      <w:marTop w:val="0"/>
      <w:marBottom w:val="0"/>
      <w:divBdr>
        <w:top w:val="none" w:sz="0" w:space="0" w:color="auto"/>
        <w:left w:val="none" w:sz="0" w:space="0" w:color="auto"/>
        <w:bottom w:val="none" w:sz="0" w:space="0" w:color="auto"/>
        <w:right w:val="none" w:sz="0" w:space="0" w:color="auto"/>
      </w:divBdr>
    </w:div>
    <w:div w:id="818231544">
      <w:bodyDiv w:val="1"/>
      <w:marLeft w:val="0"/>
      <w:marRight w:val="0"/>
      <w:marTop w:val="0"/>
      <w:marBottom w:val="0"/>
      <w:divBdr>
        <w:top w:val="none" w:sz="0" w:space="0" w:color="auto"/>
        <w:left w:val="none" w:sz="0" w:space="0" w:color="auto"/>
        <w:bottom w:val="none" w:sz="0" w:space="0" w:color="auto"/>
        <w:right w:val="none" w:sz="0" w:space="0" w:color="auto"/>
      </w:divBdr>
    </w:div>
    <w:div w:id="840510406">
      <w:bodyDiv w:val="1"/>
      <w:marLeft w:val="0"/>
      <w:marRight w:val="0"/>
      <w:marTop w:val="0"/>
      <w:marBottom w:val="0"/>
      <w:divBdr>
        <w:top w:val="none" w:sz="0" w:space="0" w:color="auto"/>
        <w:left w:val="none" w:sz="0" w:space="0" w:color="auto"/>
        <w:bottom w:val="none" w:sz="0" w:space="0" w:color="auto"/>
        <w:right w:val="none" w:sz="0" w:space="0" w:color="auto"/>
      </w:divBdr>
    </w:div>
    <w:div w:id="852915333">
      <w:bodyDiv w:val="1"/>
      <w:marLeft w:val="0"/>
      <w:marRight w:val="0"/>
      <w:marTop w:val="0"/>
      <w:marBottom w:val="0"/>
      <w:divBdr>
        <w:top w:val="none" w:sz="0" w:space="0" w:color="auto"/>
        <w:left w:val="none" w:sz="0" w:space="0" w:color="auto"/>
        <w:bottom w:val="none" w:sz="0" w:space="0" w:color="auto"/>
        <w:right w:val="none" w:sz="0" w:space="0" w:color="auto"/>
      </w:divBdr>
    </w:div>
    <w:div w:id="863711404">
      <w:bodyDiv w:val="1"/>
      <w:marLeft w:val="0"/>
      <w:marRight w:val="0"/>
      <w:marTop w:val="0"/>
      <w:marBottom w:val="0"/>
      <w:divBdr>
        <w:top w:val="none" w:sz="0" w:space="0" w:color="auto"/>
        <w:left w:val="none" w:sz="0" w:space="0" w:color="auto"/>
        <w:bottom w:val="none" w:sz="0" w:space="0" w:color="auto"/>
        <w:right w:val="none" w:sz="0" w:space="0" w:color="auto"/>
      </w:divBdr>
    </w:div>
    <w:div w:id="942959574">
      <w:bodyDiv w:val="1"/>
      <w:marLeft w:val="0"/>
      <w:marRight w:val="0"/>
      <w:marTop w:val="0"/>
      <w:marBottom w:val="0"/>
      <w:divBdr>
        <w:top w:val="none" w:sz="0" w:space="0" w:color="auto"/>
        <w:left w:val="none" w:sz="0" w:space="0" w:color="auto"/>
        <w:bottom w:val="none" w:sz="0" w:space="0" w:color="auto"/>
        <w:right w:val="none" w:sz="0" w:space="0" w:color="auto"/>
      </w:divBdr>
    </w:div>
    <w:div w:id="1050156613">
      <w:bodyDiv w:val="1"/>
      <w:marLeft w:val="0"/>
      <w:marRight w:val="0"/>
      <w:marTop w:val="0"/>
      <w:marBottom w:val="0"/>
      <w:divBdr>
        <w:top w:val="none" w:sz="0" w:space="0" w:color="auto"/>
        <w:left w:val="none" w:sz="0" w:space="0" w:color="auto"/>
        <w:bottom w:val="none" w:sz="0" w:space="0" w:color="auto"/>
        <w:right w:val="none" w:sz="0" w:space="0" w:color="auto"/>
      </w:divBdr>
    </w:div>
    <w:div w:id="1067335774">
      <w:bodyDiv w:val="1"/>
      <w:marLeft w:val="0"/>
      <w:marRight w:val="0"/>
      <w:marTop w:val="0"/>
      <w:marBottom w:val="0"/>
      <w:divBdr>
        <w:top w:val="none" w:sz="0" w:space="0" w:color="auto"/>
        <w:left w:val="none" w:sz="0" w:space="0" w:color="auto"/>
        <w:bottom w:val="none" w:sz="0" w:space="0" w:color="auto"/>
        <w:right w:val="none" w:sz="0" w:space="0" w:color="auto"/>
      </w:divBdr>
    </w:div>
    <w:div w:id="1113550005">
      <w:bodyDiv w:val="1"/>
      <w:marLeft w:val="0"/>
      <w:marRight w:val="0"/>
      <w:marTop w:val="0"/>
      <w:marBottom w:val="0"/>
      <w:divBdr>
        <w:top w:val="none" w:sz="0" w:space="0" w:color="auto"/>
        <w:left w:val="none" w:sz="0" w:space="0" w:color="auto"/>
        <w:bottom w:val="none" w:sz="0" w:space="0" w:color="auto"/>
        <w:right w:val="none" w:sz="0" w:space="0" w:color="auto"/>
      </w:divBdr>
    </w:div>
    <w:div w:id="1153372017">
      <w:bodyDiv w:val="1"/>
      <w:marLeft w:val="0"/>
      <w:marRight w:val="0"/>
      <w:marTop w:val="0"/>
      <w:marBottom w:val="0"/>
      <w:divBdr>
        <w:top w:val="none" w:sz="0" w:space="0" w:color="auto"/>
        <w:left w:val="none" w:sz="0" w:space="0" w:color="auto"/>
        <w:bottom w:val="none" w:sz="0" w:space="0" w:color="auto"/>
        <w:right w:val="none" w:sz="0" w:space="0" w:color="auto"/>
      </w:divBdr>
    </w:div>
    <w:div w:id="1192844061">
      <w:bodyDiv w:val="1"/>
      <w:marLeft w:val="0"/>
      <w:marRight w:val="0"/>
      <w:marTop w:val="0"/>
      <w:marBottom w:val="0"/>
      <w:divBdr>
        <w:top w:val="none" w:sz="0" w:space="0" w:color="auto"/>
        <w:left w:val="none" w:sz="0" w:space="0" w:color="auto"/>
        <w:bottom w:val="none" w:sz="0" w:space="0" w:color="auto"/>
        <w:right w:val="none" w:sz="0" w:space="0" w:color="auto"/>
      </w:divBdr>
    </w:div>
    <w:div w:id="1239948477">
      <w:bodyDiv w:val="1"/>
      <w:marLeft w:val="0"/>
      <w:marRight w:val="0"/>
      <w:marTop w:val="0"/>
      <w:marBottom w:val="0"/>
      <w:divBdr>
        <w:top w:val="none" w:sz="0" w:space="0" w:color="auto"/>
        <w:left w:val="none" w:sz="0" w:space="0" w:color="auto"/>
        <w:bottom w:val="none" w:sz="0" w:space="0" w:color="auto"/>
        <w:right w:val="none" w:sz="0" w:space="0" w:color="auto"/>
      </w:divBdr>
    </w:div>
    <w:div w:id="1249266927">
      <w:bodyDiv w:val="1"/>
      <w:marLeft w:val="0"/>
      <w:marRight w:val="0"/>
      <w:marTop w:val="0"/>
      <w:marBottom w:val="0"/>
      <w:divBdr>
        <w:top w:val="none" w:sz="0" w:space="0" w:color="auto"/>
        <w:left w:val="none" w:sz="0" w:space="0" w:color="auto"/>
        <w:bottom w:val="none" w:sz="0" w:space="0" w:color="auto"/>
        <w:right w:val="none" w:sz="0" w:space="0" w:color="auto"/>
      </w:divBdr>
    </w:div>
    <w:div w:id="1346247626">
      <w:bodyDiv w:val="1"/>
      <w:marLeft w:val="0"/>
      <w:marRight w:val="0"/>
      <w:marTop w:val="0"/>
      <w:marBottom w:val="0"/>
      <w:divBdr>
        <w:top w:val="none" w:sz="0" w:space="0" w:color="auto"/>
        <w:left w:val="none" w:sz="0" w:space="0" w:color="auto"/>
        <w:bottom w:val="none" w:sz="0" w:space="0" w:color="auto"/>
        <w:right w:val="none" w:sz="0" w:space="0" w:color="auto"/>
      </w:divBdr>
    </w:div>
    <w:div w:id="1347441321">
      <w:bodyDiv w:val="1"/>
      <w:marLeft w:val="0"/>
      <w:marRight w:val="0"/>
      <w:marTop w:val="0"/>
      <w:marBottom w:val="0"/>
      <w:divBdr>
        <w:top w:val="none" w:sz="0" w:space="0" w:color="auto"/>
        <w:left w:val="none" w:sz="0" w:space="0" w:color="auto"/>
        <w:bottom w:val="none" w:sz="0" w:space="0" w:color="auto"/>
        <w:right w:val="none" w:sz="0" w:space="0" w:color="auto"/>
      </w:divBdr>
      <w:divsChild>
        <w:div w:id="366224879">
          <w:marLeft w:val="547"/>
          <w:marRight w:val="0"/>
          <w:marTop w:val="106"/>
          <w:marBottom w:val="0"/>
          <w:divBdr>
            <w:top w:val="none" w:sz="0" w:space="0" w:color="auto"/>
            <w:left w:val="none" w:sz="0" w:space="0" w:color="auto"/>
            <w:bottom w:val="none" w:sz="0" w:space="0" w:color="auto"/>
            <w:right w:val="none" w:sz="0" w:space="0" w:color="auto"/>
          </w:divBdr>
        </w:div>
      </w:divsChild>
    </w:div>
    <w:div w:id="1355229344">
      <w:bodyDiv w:val="1"/>
      <w:marLeft w:val="0"/>
      <w:marRight w:val="0"/>
      <w:marTop w:val="0"/>
      <w:marBottom w:val="0"/>
      <w:divBdr>
        <w:top w:val="none" w:sz="0" w:space="0" w:color="auto"/>
        <w:left w:val="none" w:sz="0" w:space="0" w:color="auto"/>
        <w:bottom w:val="none" w:sz="0" w:space="0" w:color="auto"/>
        <w:right w:val="none" w:sz="0" w:space="0" w:color="auto"/>
      </w:divBdr>
    </w:div>
    <w:div w:id="1406224509">
      <w:bodyDiv w:val="1"/>
      <w:marLeft w:val="0"/>
      <w:marRight w:val="0"/>
      <w:marTop w:val="0"/>
      <w:marBottom w:val="0"/>
      <w:divBdr>
        <w:top w:val="none" w:sz="0" w:space="0" w:color="auto"/>
        <w:left w:val="none" w:sz="0" w:space="0" w:color="auto"/>
        <w:bottom w:val="none" w:sz="0" w:space="0" w:color="auto"/>
        <w:right w:val="none" w:sz="0" w:space="0" w:color="auto"/>
      </w:divBdr>
    </w:div>
    <w:div w:id="1418020069">
      <w:bodyDiv w:val="1"/>
      <w:marLeft w:val="0"/>
      <w:marRight w:val="0"/>
      <w:marTop w:val="0"/>
      <w:marBottom w:val="0"/>
      <w:divBdr>
        <w:top w:val="none" w:sz="0" w:space="0" w:color="auto"/>
        <w:left w:val="none" w:sz="0" w:space="0" w:color="auto"/>
        <w:bottom w:val="none" w:sz="0" w:space="0" w:color="auto"/>
        <w:right w:val="none" w:sz="0" w:space="0" w:color="auto"/>
      </w:divBdr>
    </w:div>
    <w:div w:id="1419712958">
      <w:bodyDiv w:val="1"/>
      <w:marLeft w:val="0"/>
      <w:marRight w:val="0"/>
      <w:marTop w:val="0"/>
      <w:marBottom w:val="0"/>
      <w:divBdr>
        <w:top w:val="none" w:sz="0" w:space="0" w:color="auto"/>
        <w:left w:val="none" w:sz="0" w:space="0" w:color="auto"/>
        <w:bottom w:val="none" w:sz="0" w:space="0" w:color="auto"/>
        <w:right w:val="none" w:sz="0" w:space="0" w:color="auto"/>
      </w:divBdr>
    </w:div>
    <w:div w:id="1517039848">
      <w:bodyDiv w:val="1"/>
      <w:marLeft w:val="0"/>
      <w:marRight w:val="0"/>
      <w:marTop w:val="0"/>
      <w:marBottom w:val="0"/>
      <w:divBdr>
        <w:top w:val="none" w:sz="0" w:space="0" w:color="auto"/>
        <w:left w:val="none" w:sz="0" w:space="0" w:color="auto"/>
        <w:bottom w:val="none" w:sz="0" w:space="0" w:color="auto"/>
        <w:right w:val="none" w:sz="0" w:space="0" w:color="auto"/>
      </w:divBdr>
      <w:divsChild>
        <w:div w:id="1841657501">
          <w:marLeft w:val="547"/>
          <w:marRight w:val="0"/>
          <w:marTop w:val="106"/>
          <w:marBottom w:val="0"/>
          <w:divBdr>
            <w:top w:val="none" w:sz="0" w:space="0" w:color="auto"/>
            <w:left w:val="none" w:sz="0" w:space="0" w:color="auto"/>
            <w:bottom w:val="none" w:sz="0" w:space="0" w:color="auto"/>
            <w:right w:val="none" w:sz="0" w:space="0" w:color="auto"/>
          </w:divBdr>
        </w:div>
        <w:div w:id="118377880">
          <w:marLeft w:val="547"/>
          <w:marRight w:val="0"/>
          <w:marTop w:val="106"/>
          <w:marBottom w:val="0"/>
          <w:divBdr>
            <w:top w:val="none" w:sz="0" w:space="0" w:color="auto"/>
            <w:left w:val="none" w:sz="0" w:space="0" w:color="auto"/>
            <w:bottom w:val="none" w:sz="0" w:space="0" w:color="auto"/>
            <w:right w:val="none" w:sz="0" w:space="0" w:color="auto"/>
          </w:divBdr>
        </w:div>
        <w:div w:id="990334255">
          <w:marLeft w:val="547"/>
          <w:marRight w:val="0"/>
          <w:marTop w:val="106"/>
          <w:marBottom w:val="0"/>
          <w:divBdr>
            <w:top w:val="none" w:sz="0" w:space="0" w:color="auto"/>
            <w:left w:val="none" w:sz="0" w:space="0" w:color="auto"/>
            <w:bottom w:val="none" w:sz="0" w:space="0" w:color="auto"/>
            <w:right w:val="none" w:sz="0" w:space="0" w:color="auto"/>
          </w:divBdr>
        </w:div>
        <w:div w:id="1203203906">
          <w:marLeft w:val="547"/>
          <w:marRight w:val="0"/>
          <w:marTop w:val="106"/>
          <w:marBottom w:val="0"/>
          <w:divBdr>
            <w:top w:val="none" w:sz="0" w:space="0" w:color="auto"/>
            <w:left w:val="none" w:sz="0" w:space="0" w:color="auto"/>
            <w:bottom w:val="none" w:sz="0" w:space="0" w:color="auto"/>
            <w:right w:val="none" w:sz="0" w:space="0" w:color="auto"/>
          </w:divBdr>
        </w:div>
        <w:div w:id="280184521">
          <w:marLeft w:val="547"/>
          <w:marRight w:val="0"/>
          <w:marTop w:val="106"/>
          <w:marBottom w:val="0"/>
          <w:divBdr>
            <w:top w:val="none" w:sz="0" w:space="0" w:color="auto"/>
            <w:left w:val="none" w:sz="0" w:space="0" w:color="auto"/>
            <w:bottom w:val="none" w:sz="0" w:space="0" w:color="auto"/>
            <w:right w:val="none" w:sz="0" w:space="0" w:color="auto"/>
          </w:divBdr>
        </w:div>
        <w:div w:id="1690719110">
          <w:marLeft w:val="547"/>
          <w:marRight w:val="0"/>
          <w:marTop w:val="106"/>
          <w:marBottom w:val="0"/>
          <w:divBdr>
            <w:top w:val="none" w:sz="0" w:space="0" w:color="auto"/>
            <w:left w:val="none" w:sz="0" w:space="0" w:color="auto"/>
            <w:bottom w:val="none" w:sz="0" w:space="0" w:color="auto"/>
            <w:right w:val="none" w:sz="0" w:space="0" w:color="auto"/>
          </w:divBdr>
        </w:div>
        <w:div w:id="1899779711">
          <w:marLeft w:val="547"/>
          <w:marRight w:val="0"/>
          <w:marTop w:val="106"/>
          <w:marBottom w:val="0"/>
          <w:divBdr>
            <w:top w:val="none" w:sz="0" w:space="0" w:color="auto"/>
            <w:left w:val="none" w:sz="0" w:space="0" w:color="auto"/>
            <w:bottom w:val="none" w:sz="0" w:space="0" w:color="auto"/>
            <w:right w:val="none" w:sz="0" w:space="0" w:color="auto"/>
          </w:divBdr>
        </w:div>
      </w:divsChild>
    </w:div>
    <w:div w:id="1529104584">
      <w:bodyDiv w:val="1"/>
      <w:marLeft w:val="0"/>
      <w:marRight w:val="0"/>
      <w:marTop w:val="0"/>
      <w:marBottom w:val="0"/>
      <w:divBdr>
        <w:top w:val="none" w:sz="0" w:space="0" w:color="auto"/>
        <w:left w:val="none" w:sz="0" w:space="0" w:color="auto"/>
        <w:bottom w:val="none" w:sz="0" w:space="0" w:color="auto"/>
        <w:right w:val="none" w:sz="0" w:space="0" w:color="auto"/>
      </w:divBdr>
    </w:div>
    <w:div w:id="1607810840">
      <w:bodyDiv w:val="1"/>
      <w:marLeft w:val="0"/>
      <w:marRight w:val="0"/>
      <w:marTop w:val="0"/>
      <w:marBottom w:val="0"/>
      <w:divBdr>
        <w:top w:val="none" w:sz="0" w:space="0" w:color="auto"/>
        <w:left w:val="none" w:sz="0" w:space="0" w:color="auto"/>
        <w:bottom w:val="none" w:sz="0" w:space="0" w:color="auto"/>
        <w:right w:val="none" w:sz="0" w:space="0" w:color="auto"/>
      </w:divBdr>
    </w:div>
    <w:div w:id="1608267688">
      <w:bodyDiv w:val="1"/>
      <w:marLeft w:val="0"/>
      <w:marRight w:val="0"/>
      <w:marTop w:val="0"/>
      <w:marBottom w:val="0"/>
      <w:divBdr>
        <w:top w:val="none" w:sz="0" w:space="0" w:color="auto"/>
        <w:left w:val="none" w:sz="0" w:space="0" w:color="auto"/>
        <w:bottom w:val="none" w:sz="0" w:space="0" w:color="auto"/>
        <w:right w:val="none" w:sz="0" w:space="0" w:color="auto"/>
      </w:divBdr>
    </w:div>
    <w:div w:id="1614241262">
      <w:bodyDiv w:val="1"/>
      <w:marLeft w:val="0"/>
      <w:marRight w:val="0"/>
      <w:marTop w:val="0"/>
      <w:marBottom w:val="0"/>
      <w:divBdr>
        <w:top w:val="none" w:sz="0" w:space="0" w:color="auto"/>
        <w:left w:val="none" w:sz="0" w:space="0" w:color="auto"/>
        <w:bottom w:val="none" w:sz="0" w:space="0" w:color="auto"/>
        <w:right w:val="none" w:sz="0" w:space="0" w:color="auto"/>
      </w:divBdr>
    </w:div>
    <w:div w:id="1635332421">
      <w:bodyDiv w:val="1"/>
      <w:marLeft w:val="0"/>
      <w:marRight w:val="0"/>
      <w:marTop w:val="0"/>
      <w:marBottom w:val="0"/>
      <w:divBdr>
        <w:top w:val="none" w:sz="0" w:space="0" w:color="auto"/>
        <w:left w:val="none" w:sz="0" w:space="0" w:color="auto"/>
        <w:bottom w:val="none" w:sz="0" w:space="0" w:color="auto"/>
        <w:right w:val="none" w:sz="0" w:space="0" w:color="auto"/>
      </w:divBdr>
    </w:div>
    <w:div w:id="1678655972">
      <w:bodyDiv w:val="1"/>
      <w:marLeft w:val="0"/>
      <w:marRight w:val="0"/>
      <w:marTop w:val="0"/>
      <w:marBottom w:val="0"/>
      <w:divBdr>
        <w:top w:val="none" w:sz="0" w:space="0" w:color="auto"/>
        <w:left w:val="none" w:sz="0" w:space="0" w:color="auto"/>
        <w:bottom w:val="none" w:sz="0" w:space="0" w:color="auto"/>
        <w:right w:val="none" w:sz="0" w:space="0" w:color="auto"/>
      </w:divBdr>
    </w:div>
    <w:div w:id="1718163008">
      <w:bodyDiv w:val="1"/>
      <w:marLeft w:val="0"/>
      <w:marRight w:val="0"/>
      <w:marTop w:val="0"/>
      <w:marBottom w:val="0"/>
      <w:divBdr>
        <w:top w:val="none" w:sz="0" w:space="0" w:color="auto"/>
        <w:left w:val="none" w:sz="0" w:space="0" w:color="auto"/>
        <w:bottom w:val="none" w:sz="0" w:space="0" w:color="auto"/>
        <w:right w:val="none" w:sz="0" w:space="0" w:color="auto"/>
      </w:divBdr>
    </w:div>
    <w:div w:id="1766460064">
      <w:bodyDiv w:val="1"/>
      <w:marLeft w:val="0"/>
      <w:marRight w:val="0"/>
      <w:marTop w:val="0"/>
      <w:marBottom w:val="0"/>
      <w:divBdr>
        <w:top w:val="none" w:sz="0" w:space="0" w:color="auto"/>
        <w:left w:val="none" w:sz="0" w:space="0" w:color="auto"/>
        <w:bottom w:val="none" w:sz="0" w:space="0" w:color="auto"/>
        <w:right w:val="none" w:sz="0" w:space="0" w:color="auto"/>
      </w:divBdr>
    </w:div>
    <w:div w:id="1783064832">
      <w:bodyDiv w:val="1"/>
      <w:marLeft w:val="0"/>
      <w:marRight w:val="0"/>
      <w:marTop w:val="0"/>
      <w:marBottom w:val="0"/>
      <w:divBdr>
        <w:top w:val="none" w:sz="0" w:space="0" w:color="auto"/>
        <w:left w:val="none" w:sz="0" w:space="0" w:color="auto"/>
        <w:bottom w:val="none" w:sz="0" w:space="0" w:color="auto"/>
        <w:right w:val="none" w:sz="0" w:space="0" w:color="auto"/>
      </w:divBdr>
    </w:div>
    <w:div w:id="1802461698">
      <w:bodyDiv w:val="1"/>
      <w:marLeft w:val="0"/>
      <w:marRight w:val="0"/>
      <w:marTop w:val="0"/>
      <w:marBottom w:val="0"/>
      <w:divBdr>
        <w:top w:val="none" w:sz="0" w:space="0" w:color="auto"/>
        <w:left w:val="none" w:sz="0" w:space="0" w:color="auto"/>
        <w:bottom w:val="none" w:sz="0" w:space="0" w:color="auto"/>
        <w:right w:val="none" w:sz="0" w:space="0" w:color="auto"/>
      </w:divBdr>
    </w:div>
    <w:div w:id="1811551654">
      <w:bodyDiv w:val="1"/>
      <w:marLeft w:val="0"/>
      <w:marRight w:val="0"/>
      <w:marTop w:val="0"/>
      <w:marBottom w:val="0"/>
      <w:divBdr>
        <w:top w:val="none" w:sz="0" w:space="0" w:color="auto"/>
        <w:left w:val="none" w:sz="0" w:space="0" w:color="auto"/>
        <w:bottom w:val="none" w:sz="0" w:space="0" w:color="auto"/>
        <w:right w:val="none" w:sz="0" w:space="0" w:color="auto"/>
      </w:divBdr>
    </w:div>
    <w:div w:id="1863083722">
      <w:bodyDiv w:val="1"/>
      <w:marLeft w:val="0"/>
      <w:marRight w:val="0"/>
      <w:marTop w:val="0"/>
      <w:marBottom w:val="0"/>
      <w:divBdr>
        <w:top w:val="none" w:sz="0" w:space="0" w:color="auto"/>
        <w:left w:val="none" w:sz="0" w:space="0" w:color="auto"/>
        <w:bottom w:val="none" w:sz="0" w:space="0" w:color="auto"/>
        <w:right w:val="none" w:sz="0" w:space="0" w:color="auto"/>
      </w:divBdr>
      <w:divsChild>
        <w:div w:id="1527912719">
          <w:marLeft w:val="547"/>
          <w:marRight w:val="0"/>
          <w:marTop w:val="106"/>
          <w:marBottom w:val="0"/>
          <w:divBdr>
            <w:top w:val="none" w:sz="0" w:space="0" w:color="auto"/>
            <w:left w:val="none" w:sz="0" w:space="0" w:color="auto"/>
            <w:bottom w:val="none" w:sz="0" w:space="0" w:color="auto"/>
            <w:right w:val="none" w:sz="0" w:space="0" w:color="auto"/>
          </w:divBdr>
        </w:div>
        <w:div w:id="671296208">
          <w:marLeft w:val="547"/>
          <w:marRight w:val="0"/>
          <w:marTop w:val="106"/>
          <w:marBottom w:val="0"/>
          <w:divBdr>
            <w:top w:val="none" w:sz="0" w:space="0" w:color="auto"/>
            <w:left w:val="none" w:sz="0" w:space="0" w:color="auto"/>
            <w:bottom w:val="none" w:sz="0" w:space="0" w:color="auto"/>
            <w:right w:val="none" w:sz="0" w:space="0" w:color="auto"/>
          </w:divBdr>
        </w:div>
        <w:div w:id="1117985059">
          <w:marLeft w:val="547"/>
          <w:marRight w:val="0"/>
          <w:marTop w:val="106"/>
          <w:marBottom w:val="0"/>
          <w:divBdr>
            <w:top w:val="none" w:sz="0" w:space="0" w:color="auto"/>
            <w:left w:val="none" w:sz="0" w:space="0" w:color="auto"/>
            <w:bottom w:val="none" w:sz="0" w:space="0" w:color="auto"/>
            <w:right w:val="none" w:sz="0" w:space="0" w:color="auto"/>
          </w:divBdr>
        </w:div>
        <w:div w:id="10843220">
          <w:marLeft w:val="547"/>
          <w:marRight w:val="0"/>
          <w:marTop w:val="106"/>
          <w:marBottom w:val="0"/>
          <w:divBdr>
            <w:top w:val="none" w:sz="0" w:space="0" w:color="auto"/>
            <w:left w:val="none" w:sz="0" w:space="0" w:color="auto"/>
            <w:bottom w:val="none" w:sz="0" w:space="0" w:color="auto"/>
            <w:right w:val="none" w:sz="0" w:space="0" w:color="auto"/>
          </w:divBdr>
        </w:div>
      </w:divsChild>
    </w:div>
    <w:div w:id="1885560219">
      <w:bodyDiv w:val="1"/>
      <w:marLeft w:val="0"/>
      <w:marRight w:val="0"/>
      <w:marTop w:val="0"/>
      <w:marBottom w:val="0"/>
      <w:divBdr>
        <w:top w:val="none" w:sz="0" w:space="0" w:color="auto"/>
        <w:left w:val="none" w:sz="0" w:space="0" w:color="auto"/>
        <w:bottom w:val="none" w:sz="0" w:space="0" w:color="auto"/>
        <w:right w:val="none" w:sz="0" w:space="0" w:color="auto"/>
      </w:divBdr>
    </w:div>
    <w:div w:id="1954823198">
      <w:bodyDiv w:val="1"/>
      <w:marLeft w:val="0"/>
      <w:marRight w:val="0"/>
      <w:marTop w:val="0"/>
      <w:marBottom w:val="0"/>
      <w:divBdr>
        <w:top w:val="none" w:sz="0" w:space="0" w:color="auto"/>
        <w:left w:val="none" w:sz="0" w:space="0" w:color="auto"/>
        <w:bottom w:val="none" w:sz="0" w:space="0" w:color="auto"/>
        <w:right w:val="none" w:sz="0" w:space="0" w:color="auto"/>
      </w:divBdr>
    </w:div>
    <w:div w:id="1974629485">
      <w:bodyDiv w:val="1"/>
      <w:marLeft w:val="0"/>
      <w:marRight w:val="0"/>
      <w:marTop w:val="0"/>
      <w:marBottom w:val="0"/>
      <w:divBdr>
        <w:top w:val="none" w:sz="0" w:space="0" w:color="auto"/>
        <w:left w:val="none" w:sz="0" w:space="0" w:color="auto"/>
        <w:bottom w:val="none" w:sz="0" w:space="0" w:color="auto"/>
        <w:right w:val="none" w:sz="0" w:space="0" w:color="auto"/>
      </w:divBdr>
    </w:div>
    <w:div w:id="2027973030">
      <w:bodyDiv w:val="1"/>
      <w:marLeft w:val="0"/>
      <w:marRight w:val="0"/>
      <w:marTop w:val="0"/>
      <w:marBottom w:val="0"/>
      <w:divBdr>
        <w:top w:val="none" w:sz="0" w:space="0" w:color="auto"/>
        <w:left w:val="none" w:sz="0" w:space="0" w:color="auto"/>
        <w:bottom w:val="none" w:sz="0" w:space="0" w:color="auto"/>
        <w:right w:val="none" w:sz="0" w:space="0" w:color="auto"/>
      </w:divBdr>
    </w:div>
    <w:div w:id="2052798494">
      <w:bodyDiv w:val="1"/>
      <w:marLeft w:val="0"/>
      <w:marRight w:val="0"/>
      <w:marTop w:val="0"/>
      <w:marBottom w:val="0"/>
      <w:divBdr>
        <w:top w:val="none" w:sz="0" w:space="0" w:color="auto"/>
        <w:left w:val="none" w:sz="0" w:space="0" w:color="auto"/>
        <w:bottom w:val="none" w:sz="0" w:space="0" w:color="auto"/>
        <w:right w:val="none" w:sz="0" w:space="0" w:color="auto"/>
      </w:divBdr>
      <w:divsChild>
        <w:div w:id="1279752334">
          <w:marLeft w:val="547"/>
          <w:marRight w:val="0"/>
          <w:marTop w:val="106"/>
          <w:marBottom w:val="0"/>
          <w:divBdr>
            <w:top w:val="none" w:sz="0" w:space="0" w:color="auto"/>
            <w:left w:val="none" w:sz="0" w:space="0" w:color="auto"/>
            <w:bottom w:val="none" w:sz="0" w:space="0" w:color="auto"/>
            <w:right w:val="none" w:sz="0" w:space="0" w:color="auto"/>
          </w:divBdr>
        </w:div>
        <w:div w:id="1920556913">
          <w:marLeft w:val="1166"/>
          <w:marRight w:val="0"/>
          <w:marTop w:val="91"/>
          <w:marBottom w:val="0"/>
          <w:divBdr>
            <w:top w:val="none" w:sz="0" w:space="0" w:color="auto"/>
            <w:left w:val="none" w:sz="0" w:space="0" w:color="auto"/>
            <w:bottom w:val="none" w:sz="0" w:space="0" w:color="auto"/>
            <w:right w:val="none" w:sz="0" w:space="0" w:color="auto"/>
          </w:divBdr>
        </w:div>
        <w:div w:id="4328475">
          <w:marLeft w:val="1166"/>
          <w:marRight w:val="0"/>
          <w:marTop w:val="91"/>
          <w:marBottom w:val="0"/>
          <w:divBdr>
            <w:top w:val="none" w:sz="0" w:space="0" w:color="auto"/>
            <w:left w:val="none" w:sz="0" w:space="0" w:color="auto"/>
            <w:bottom w:val="none" w:sz="0" w:space="0" w:color="auto"/>
            <w:right w:val="none" w:sz="0" w:space="0" w:color="auto"/>
          </w:divBdr>
        </w:div>
        <w:div w:id="642271133">
          <w:marLeft w:val="1166"/>
          <w:marRight w:val="0"/>
          <w:marTop w:val="91"/>
          <w:marBottom w:val="0"/>
          <w:divBdr>
            <w:top w:val="none" w:sz="0" w:space="0" w:color="auto"/>
            <w:left w:val="none" w:sz="0" w:space="0" w:color="auto"/>
            <w:bottom w:val="none" w:sz="0" w:space="0" w:color="auto"/>
            <w:right w:val="none" w:sz="0" w:space="0" w:color="auto"/>
          </w:divBdr>
        </w:div>
        <w:div w:id="753169830">
          <w:marLeft w:val="1166"/>
          <w:marRight w:val="0"/>
          <w:marTop w:val="91"/>
          <w:marBottom w:val="0"/>
          <w:divBdr>
            <w:top w:val="none" w:sz="0" w:space="0" w:color="auto"/>
            <w:left w:val="none" w:sz="0" w:space="0" w:color="auto"/>
            <w:bottom w:val="none" w:sz="0" w:space="0" w:color="auto"/>
            <w:right w:val="none" w:sz="0" w:space="0" w:color="auto"/>
          </w:divBdr>
        </w:div>
        <w:div w:id="401215566">
          <w:marLeft w:val="1166"/>
          <w:marRight w:val="0"/>
          <w:marTop w:val="91"/>
          <w:marBottom w:val="0"/>
          <w:divBdr>
            <w:top w:val="none" w:sz="0" w:space="0" w:color="auto"/>
            <w:left w:val="none" w:sz="0" w:space="0" w:color="auto"/>
            <w:bottom w:val="none" w:sz="0" w:space="0" w:color="auto"/>
            <w:right w:val="none" w:sz="0" w:space="0" w:color="auto"/>
          </w:divBdr>
        </w:div>
      </w:divsChild>
    </w:div>
    <w:div w:id="2058386084">
      <w:bodyDiv w:val="1"/>
      <w:marLeft w:val="0"/>
      <w:marRight w:val="0"/>
      <w:marTop w:val="0"/>
      <w:marBottom w:val="0"/>
      <w:divBdr>
        <w:top w:val="none" w:sz="0" w:space="0" w:color="auto"/>
        <w:left w:val="none" w:sz="0" w:space="0" w:color="auto"/>
        <w:bottom w:val="none" w:sz="0" w:space="0" w:color="auto"/>
        <w:right w:val="none" w:sz="0" w:space="0" w:color="auto"/>
      </w:divBdr>
    </w:div>
    <w:div w:id="21340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D910A6BE84F67BF2B45493E69D58B"/>
        <w:category>
          <w:name w:val="General"/>
          <w:gallery w:val="placeholder"/>
        </w:category>
        <w:types>
          <w:type w:val="bbPlcHdr"/>
        </w:types>
        <w:behaviors>
          <w:behavior w:val="content"/>
        </w:behaviors>
        <w:guid w:val="{BC9C2D62-72DB-4F99-A866-D80C22748D8E}"/>
      </w:docPartPr>
      <w:docPartBody>
        <w:p w:rsidR="00000000" w:rsidRDefault="009647E1" w:rsidP="009647E1">
          <w:pPr>
            <w:pStyle w:val="BA8D910A6BE84F67BF2B45493E69D58B"/>
          </w:pPr>
          <w:r>
            <w:rPr>
              <w:rFonts w:asciiTheme="majorHAnsi" w:eastAsiaTheme="majorEastAsia" w:hAnsiTheme="majorHAnsi" w:cstheme="majorBidi"/>
              <w:caps/>
            </w:rPr>
            <w:t>[Type the company name]</w:t>
          </w:r>
        </w:p>
      </w:docPartBody>
    </w:docPart>
    <w:docPart>
      <w:docPartPr>
        <w:name w:val="612F95B5E48E4649ACFCAC7F65E92434"/>
        <w:category>
          <w:name w:val="General"/>
          <w:gallery w:val="placeholder"/>
        </w:category>
        <w:types>
          <w:type w:val="bbPlcHdr"/>
        </w:types>
        <w:behaviors>
          <w:behavior w:val="content"/>
        </w:behaviors>
        <w:guid w:val="{5A96424E-C20F-4749-983B-1432C1C04001}"/>
      </w:docPartPr>
      <w:docPartBody>
        <w:p w:rsidR="00000000" w:rsidRDefault="009647E1" w:rsidP="009647E1">
          <w:pPr>
            <w:pStyle w:val="612F95B5E48E4649ACFCAC7F65E92434"/>
          </w:pPr>
          <w:r>
            <w:rPr>
              <w:rFonts w:asciiTheme="majorHAnsi" w:eastAsiaTheme="majorEastAsia" w:hAnsiTheme="majorHAnsi" w:cstheme="majorBidi"/>
              <w:sz w:val="80"/>
              <w:szCs w:val="80"/>
            </w:rPr>
            <w:t>[Type the document title]</w:t>
          </w:r>
        </w:p>
      </w:docPartBody>
    </w:docPart>
    <w:docPart>
      <w:docPartPr>
        <w:name w:val="D16AEA5AE45145448C8D506D61E271EE"/>
        <w:category>
          <w:name w:val="General"/>
          <w:gallery w:val="placeholder"/>
        </w:category>
        <w:types>
          <w:type w:val="bbPlcHdr"/>
        </w:types>
        <w:behaviors>
          <w:behavior w:val="content"/>
        </w:behaviors>
        <w:guid w:val="{A9E9E40F-336A-4512-9515-E1471D973E4C}"/>
      </w:docPartPr>
      <w:docPartBody>
        <w:p w:rsidR="00000000" w:rsidRDefault="009647E1" w:rsidP="009647E1">
          <w:pPr>
            <w:pStyle w:val="D16AEA5AE45145448C8D506D61E271E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E1"/>
    <w:rsid w:val="00276D71"/>
    <w:rsid w:val="0096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D910A6BE84F67BF2B45493E69D58B">
    <w:name w:val="BA8D910A6BE84F67BF2B45493E69D58B"/>
    <w:rsid w:val="009647E1"/>
  </w:style>
  <w:style w:type="paragraph" w:customStyle="1" w:styleId="612F95B5E48E4649ACFCAC7F65E92434">
    <w:name w:val="612F95B5E48E4649ACFCAC7F65E92434"/>
    <w:rsid w:val="009647E1"/>
  </w:style>
  <w:style w:type="paragraph" w:customStyle="1" w:styleId="D16AEA5AE45145448C8D506D61E271EE">
    <w:name w:val="D16AEA5AE45145448C8D506D61E271EE"/>
    <w:rsid w:val="009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1B40E7-E127-4E5B-95FF-98CDC3284AD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summary of construction loan disbursement practices. It is recognized that disbursement requirements will vary depending on a wide array of considerations. This document is not intended to imply requirements for any particular approach.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34C3F-9E60-4FBA-9B63-94B76C0C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Construction Lenders Risk Management Roundtable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Disbursements</dc:title>
  <dc:subject>Draft White Paper</dc:subject>
  <dc:creator>CLRM Roundtable</dc:creator>
  <cp:keywords/>
  <dc:description/>
  <cp:lastModifiedBy>Tryon, Bill</cp:lastModifiedBy>
  <cp:revision>7</cp:revision>
  <cp:lastPrinted>2015-05-14T02:37:00Z</cp:lastPrinted>
  <dcterms:created xsi:type="dcterms:W3CDTF">2018-10-19T17:08:00Z</dcterms:created>
  <dcterms:modified xsi:type="dcterms:W3CDTF">2018-10-19T17:49:00Z</dcterms:modified>
</cp:coreProperties>
</file>